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6901-424b5_solowin.htm"/>
      <w:bookmarkStart w:id="1" w:name="ksea0306901424b5_solowin"/>
      <w:bookmarkEnd w:id="0"/>
      <w:bookmarkEnd w:id="1"/>
      <w:r>
        <w:rPr>
          <w:rFonts w:ascii="Times New Roman;Times;Serif" w:hAnsi="Times New Roman;Times;Serif"/>
          <w:b/>
          <w:i w:val="false"/>
          <w:caps w:val="false"/>
          <w:smallCaps w:val="false"/>
          <w:sz w:val="20"/>
        </w:rPr>
        <w:t>Filed Pursuant to Rule 424(b)(5)</w:t>
        <w:br/>
        <w:t>Registration No. 333-282552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November 8,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002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638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at-the-market offering agreement, dated October 22, 2026 (the “Sales Agreement”), with Chaince Securities, LLC (the “Sales Agent”), under which we may offer and sell up to $50,000,000 of our Class A Ordinary Shares par value $0.0001 per share (“Class A Ordinary Shares”), offered by this prospectus supplement and the accompanying base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Sales Agreement, we may offer and sell our Class A Ordinary Shares from time to time having an aggregate offering price of up to $50,000,000 through the Sales Agent acting as our sales agent. Sales of our Class A Ordinary Shares, if any, will be made at market prices by any method that is deemed to be an “at the market offering” as defined in Rule 415(a)(4) under the Securities Act of 1933, as amended (the “Securities Act”), including sales made directly on or through The Nasdaq Capital Market (“Nasdaq”), the existing trading market for our Class A Ordinary Shares, sales made to or through a market maker other than on an exchange or otherwise, in negotiated transactions (including block transactions) at market prices prevailing at the time of sale or at prices related to such prevailing market prices, and/or in any other method permitted by law. The Sales Agent is not required to sell any specific number or dollar amount of shares but will act as sales agent on a commercially reasonable efforts basis consistent with their normal trading and sales practices.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will be entitled to (i) a cash fee equal to 3.0% of the aggregate gross proceeds raised at such Closing and (ii) out of the proceeds of such Closing, a non-accountable expense allowance equal to 1.0% of the aggregate gross proceeds raised at such Closing for out-of-pocket expenses incurred by the Sales Agent in connection with the offering (the “Expense Allowance”) under the Sales Agreement. In connection with the sale of the Class A Ordinary Shares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liabilities under the Securities Act or the Securities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under the symbol “AXG”. On October 21, 2026, the closing price of our Class A Ordinary Shares on Nasdaq was $0.0850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carefully consider the risks described under the heading “Risk Factors” beginning on page S-7 of this prospectus supplement and on page 12 of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states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October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4115"/>
        <w:gridCol w:w="455"/>
      </w:tblGrid>
      <w:tr>
        <w:trPr/>
        <w:tc>
          <w:tcPr>
            <w:tcW w:w="4115" w:type="dxa"/>
            <w:tcBorders/>
            <w:shd w:fill="FFFFFF" w:val="clear"/>
            <w:vAlign w:val="center"/>
          </w:tcPr>
          <w:p>
            <w:pPr>
              <w:pStyle w:val="TableContents"/>
              <w:bidi w:val="0"/>
              <w:spacing w:before="0" w:after="283"/>
              <w:jc w:val="both"/>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4115" w:type="dxa"/>
            <w:tcBorders/>
            <w:shd w:fill="CCEEFF" w:val="clear"/>
            <w:vAlign w:val="center"/>
          </w:tcPr>
          <w:p>
            <w:pPr>
              <w:pStyle w:val="TableContents"/>
              <w:bidi w:val="0"/>
              <w:spacing w:before="0" w:after="283"/>
              <w:jc w:val="both"/>
              <w:rPr/>
            </w:pPr>
            <w:hyperlink w:anchor="s_001">
              <w:r>
                <w:rPr>
                  <w:rStyle w:val="InternetLink"/>
                  <w:rFonts w:ascii="Times New Roman;Times;Serif" w:hAnsi="Times New Roman;Times;Serif"/>
                  <w:sz w:val="20"/>
                </w:rPr>
                <w:t>Prospectus Supplement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4115" w:type="dxa"/>
            <w:tcBorders/>
            <w:shd w:fill="FFFFFF" w:val="clear"/>
            <w:vAlign w:val="center"/>
          </w:tcPr>
          <w:p>
            <w:pPr>
              <w:pStyle w:val="TableContents"/>
              <w:bidi w:val="0"/>
              <w:spacing w:before="0" w:after="283"/>
              <w:jc w:val="both"/>
              <w:rPr/>
            </w:pPr>
            <w:hyperlink w:anchor="s_002">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S-7</w:t>
            </w:r>
          </w:p>
        </w:tc>
      </w:tr>
      <w:tr>
        <w:trPr/>
        <w:tc>
          <w:tcPr>
            <w:tcW w:w="4115" w:type="dxa"/>
            <w:tcBorders/>
            <w:shd w:fill="CCEEFF" w:val="clear"/>
            <w:vAlign w:val="center"/>
          </w:tcPr>
          <w:p>
            <w:pPr>
              <w:pStyle w:val="TableContents"/>
              <w:bidi w:val="0"/>
              <w:spacing w:before="0" w:after="283"/>
              <w:jc w:val="both"/>
              <w:rPr/>
            </w:pPr>
            <w:hyperlink w:anchor="s_003">
              <w:r>
                <w:rPr>
                  <w:rStyle w:val="InternetLink"/>
                  <w:rFonts w:ascii="Times New Roman;Times;Serif" w:hAnsi="Times New Roman;Times;Serif"/>
                  <w:sz w:val="20"/>
                </w:rPr>
                <w:t>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r>
        <w:trPr/>
        <w:tc>
          <w:tcPr>
            <w:tcW w:w="4115" w:type="dxa"/>
            <w:tcBorders/>
            <w:shd w:fill="FFFFFF" w:val="clear"/>
            <w:vAlign w:val="center"/>
          </w:tcPr>
          <w:p>
            <w:pPr>
              <w:pStyle w:val="TableContents"/>
              <w:bidi w:val="0"/>
              <w:spacing w:before="0" w:after="283"/>
              <w:jc w:val="both"/>
              <w:rPr/>
            </w:pPr>
            <w:hyperlink w:anchor="s_004">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4115" w:type="dxa"/>
            <w:tcBorders/>
            <w:shd w:fill="CCEEFF" w:val="clear"/>
            <w:vAlign w:val="center"/>
          </w:tcPr>
          <w:p>
            <w:pPr>
              <w:pStyle w:val="TableContents"/>
              <w:bidi w:val="0"/>
              <w:spacing w:before="0" w:after="283"/>
              <w:jc w:val="both"/>
              <w:rPr/>
            </w:pPr>
            <w:hyperlink w:anchor="s_005">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S-14</w:t>
            </w:r>
          </w:p>
        </w:tc>
      </w:tr>
      <w:tr>
        <w:trPr/>
        <w:tc>
          <w:tcPr>
            <w:tcW w:w="4115" w:type="dxa"/>
            <w:tcBorders/>
            <w:shd w:fill="FFFFFF" w:val="clear"/>
            <w:vAlign w:val="center"/>
          </w:tcPr>
          <w:p>
            <w:pPr>
              <w:pStyle w:val="TableContents"/>
              <w:bidi w:val="0"/>
              <w:spacing w:before="0" w:after="283"/>
              <w:jc w:val="both"/>
              <w:rPr/>
            </w:pPr>
            <w:hyperlink w:anchor="s_006">
              <w:r>
                <w:rPr>
                  <w:rStyle w:val="InternetLink"/>
                  <w:rFonts w:ascii="Times New Roman;Times;Serif" w:hAnsi="Times New Roman;Times;Serif"/>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4115" w:type="dxa"/>
            <w:tcBorders/>
            <w:shd w:fill="CCEEFF" w:val="clear"/>
            <w:vAlign w:val="center"/>
          </w:tcPr>
          <w:p>
            <w:pPr>
              <w:pStyle w:val="TableContents"/>
              <w:bidi w:val="0"/>
              <w:spacing w:before="0" w:after="283"/>
              <w:jc w:val="both"/>
              <w:rPr/>
            </w:pPr>
            <w:hyperlink w:anchor="s_007">
              <w:r>
                <w:rPr>
                  <w:rStyle w:val="InternetLink"/>
                  <w:rFonts w:ascii="Times New Roman;Times;Serif" w:hAnsi="Times New Roman;Times;Serif"/>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4115" w:type="dxa"/>
            <w:tcBorders/>
            <w:shd w:fill="FFFFFF" w:val="clear"/>
            <w:vAlign w:val="center"/>
          </w:tcPr>
          <w:p>
            <w:pPr>
              <w:pStyle w:val="TableContents"/>
              <w:bidi w:val="0"/>
              <w:spacing w:before="0" w:after="283"/>
              <w:jc w:val="both"/>
              <w:rPr/>
            </w:pPr>
            <w:hyperlink w:anchor="s_008">
              <w:r>
                <w:rPr>
                  <w:rStyle w:val="InternetLink"/>
                  <w:rFonts w:ascii="Times New Roman;Times;Serif" w:hAnsi="Times New Roman;Times;Serif"/>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4115" w:type="dxa"/>
            <w:tcBorders/>
            <w:shd w:fill="CCEEFF" w:val="clear"/>
            <w:vAlign w:val="center"/>
          </w:tcPr>
          <w:p>
            <w:pPr>
              <w:pStyle w:val="TableContents"/>
              <w:bidi w:val="0"/>
              <w:spacing w:before="0" w:after="283"/>
              <w:jc w:val="both"/>
              <w:rPr/>
            </w:pPr>
            <w:hyperlink w:anchor="s_009">
              <w:r>
                <w:rPr>
                  <w:rStyle w:val="InternetLink"/>
                  <w:rFonts w:ascii="Times New Roman;Times;Serif" w:hAnsi="Times New Roman;Times;Serif"/>
                  <w:sz w:val="20"/>
                </w:rPr>
                <w:t>Incorporation of Certain Information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Base Prospectus</w:t>
      </w:r>
    </w:p>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4805"/>
        <w:gridCol w:w="60"/>
        <w:gridCol w:w="53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4805" w:type="dxa"/>
            <w:tcBorders/>
            <w:shd w:fill="CCEEFF" w:val="clear"/>
            <w:vAlign w:val="center"/>
          </w:tcPr>
          <w:p>
            <w:pPr>
              <w:pStyle w:val="TableContents"/>
              <w:bidi w:val="0"/>
              <w:spacing w:before="0" w:after="283"/>
              <w:jc w:val="left"/>
              <w:rPr/>
            </w:pPr>
            <w:hyperlink w:anchor="a_002">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4805" w:type="dxa"/>
            <w:tcBorders/>
            <w:shd w:fill="FFFFFF" w:val="clear"/>
            <w:vAlign w:val="center"/>
          </w:tcPr>
          <w:p>
            <w:pPr>
              <w:pStyle w:val="TableContents"/>
              <w:bidi w:val="0"/>
              <w:spacing w:before="0" w:after="283"/>
              <w:jc w:val="left"/>
              <w:rPr/>
            </w:pPr>
            <w:hyperlink w:anchor="a_003">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12</w:t>
            </w:r>
          </w:p>
        </w:tc>
      </w:tr>
      <w:tr>
        <w:trPr/>
        <w:tc>
          <w:tcPr>
            <w:tcW w:w="4805" w:type="dxa"/>
            <w:tcBorders/>
            <w:shd w:fill="CCEEFF" w:val="clear"/>
            <w:vAlign w:val="center"/>
          </w:tcPr>
          <w:p>
            <w:pPr>
              <w:pStyle w:val="TableContents"/>
              <w:bidi w:val="0"/>
              <w:spacing w:before="0" w:after="283"/>
              <w:jc w:val="left"/>
              <w:rPr/>
            </w:pPr>
            <w:hyperlink w:anchor="a_004">
              <w:r>
                <w:rPr>
                  <w:rStyle w:val="InternetLink"/>
                </w:rPr>
                <w:t>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42</w:t>
            </w:r>
          </w:p>
        </w:tc>
      </w:tr>
      <w:tr>
        <w:trPr/>
        <w:tc>
          <w:tcPr>
            <w:tcW w:w="4805" w:type="dxa"/>
            <w:tcBorders/>
            <w:shd w:fill="FFFFFF" w:val="clear"/>
            <w:vAlign w:val="center"/>
          </w:tcPr>
          <w:p>
            <w:pPr>
              <w:pStyle w:val="TableContents"/>
              <w:bidi w:val="0"/>
              <w:spacing w:before="0" w:after="283"/>
              <w:jc w:val="left"/>
              <w:rPr/>
            </w:pPr>
            <w:hyperlink w:anchor="a_005">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42</w:t>
            </w:r>
          </w:p>
        </w:tc>
      </w:tr>
      <w:tr>
        <w:trPr/>
        <w:tc>
          <w:tcPr>
            <w:tcW w:w="4805" w:type="dxa"/>
            <w:tcBorders/>
            <w:shd w:fill="CCEEFF" w:val="clear"/>
            <w:vAlign w:val="center"/>
          </w:tcPr>
          <w:p>
            <w:pPr>
              <w:pStyle w:val="TableContents"/>
              <w:bidi w:val="0"/>
              <w:spacing w:before="0" w:after="283"/>
              <w:jc w:val="left"/>
              <w:rPr/>
            </w:pPr>
            <w:hyperlink w:anchor="a_006">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42</w:t>
            </w:r>
          </w:p>
        </w:tc>
      </w:tr>
      <w:tr>
        <w:trPr/>
        <w:tc>
          <w:tcPr>
            <w:tcW w:w="4805" w:type="dxa"/>
            <w:tcBorders/>
            <w:shd w:fill="FFFFFF" w:val="clear"/>
            <w:vAlign w:val="center"/>
          </w:tcPr>
          <w:p>
            <w:pPr>
              <w:pStyle w:val="TableContents"/>
              <w:bidi w:val="0"/>
              <w:spacing w:before="0" w:after="283"/>
              <w:jc w:val="left"/>
              <w:rPr/>
            </w:pPr>
            <w:hyperlink w:anchor="a_007">
              <w:r>
                <w:rPr>
                  <w:rStyle w:val="InternetLink"/>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43</w:t>
            </w:r>
          </w:p>
        </w:tc>
      </w:tr>
      <w:tr>
        <w:trPr/>
        <w:tc>
          <w:tcPr>
            <w:tcW w:w="4805" w:type="dxa"/>
            <w:tcBorders/>
            <w:shd w:fill="CCEEFF" w:val="clear"/>
            <w:vAlign w:val="center"/>
          </w:tcPr>
          <w:p>
            <w:pPr>
              <w:pStyle w:val="TableContents"/>
              <w:bidi w:val="0"/>
              <w:spacing w:before="0" w:after="283"/>
              <w:jc w:val="left"/>
              <w:rPr/>
            </w:pPr>
            <w:hyperlink w:anchor="a_008">
              <w:r>
                <w:rPr>
                  <w:rStyle w:val="InternetLink"/>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43</w:t>
            </w:r>
          </w:p>
        </w:tc>
      </w:tr>
      <w:tr>
        <w:trPr/>
        <w:tc>
          <w:tcPr>
            <w:tcW w:w="4805" w:type="dxa"/>
            <w:tcBorders/>
            <w:shd w:fill="FFFFFF" w:val="clear"/>
            <w:vAlign w:val="center"/>
          </w:tcPr>
          <w:p>
            <w:pPr>
              <w:pStyle w:val="TableContents"/>
              <w:bidi w:val="0"/>
              <w:spacing w:before="0" w:after="283"/>
              <w:jc w:val="left"/>
              <w:rPr/>
            </w:pPr>
            <w:hyperlink w:anchor="a_009">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52</w:t>
            </w:r>
          </w:p>
        </w:tc>
      </w:tr>
      <w:tr>
        <w:trPr/>
        <w:tc>
          <w:tcPr>
            <w:tcW w:w="4805" w:type="dxa"/>
            <w:tcBorders/>
            <w:shd w:fill="CCEEFF" w:val="clear"/>
            <w:vAlign w:val="center"/>
          </w:tcPr>
          <w:p>
            <w:pPr>
              <w:pStyle w:val="TableContents"/>
              <w:bidi w:val="0"/>
              <w:spacing w:before="0" w:after="283"/>
              <w:jc w:val="left"/>
              <w:rPr/>
            </w:pPr>
            <w:hyperlink w:anchor="a_010">
              <w:r>
                <w:rPr>
                  <w:rStyle w:val="InternetLink"/>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53</w:t>
            </w:r>
          </w:p>
        </w:tc>
      </w:tr>
      <w:tr>
        <w:trPr/>
        <w:tc>
          <w:tcPr>
            <w:tcW w:w="4805" w:type="dxa"/>
            <w:tcBorders/>
            <w:shd w:fill="FFFFFF" w:val="clear"/>
            <w:vAlign w:val="center"/>
          </w:tcPr>
          <w:p>
            <w:pPr>
              <w:pStyle w:val="TableContents"/>
              <w:bidi w:val="0"/>
              <w:spacing w:before="0" w:after="283"/>
              <w:jc w:val="left"/>
              <w:rPr/>
            </w:pPr>
            <w:hyperlink w:anchor="a_011">
              <w:r>
                <w:rPr>
                  <w:rStyle w:val="InternetLink"/>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54</w:t>
            </w:r>
          </w:p>
        </w:tc>
      </w:tr>
      <w:tr>
        <w:trPr/>
        <w:tc>
          <w:tcPr>
            <w:tcW w:w="4805" w:type="dxa"/>
            <w:tcBorders/>
            <w:shd w:fill="CCEEFF" w:val="clear"/>
            <w:vAlign w:val="center"/>
          </w:tcPr>
          <w:p>
            <w:pPr>
              <w:pStyle w:val="TableContents"/>
              <w:bidi w:val="0"/>
              <w:spacing w:before="0" w:after="283"/>
              <w:jc w:val="left"/>
              <w:rPr/>
            </w:pPr>
            <w:hyperlink w:anchor="a_012">
              <w:r>
                <w:rPr>
                  <w:rStyle w:val="InternetLink"/>
                </w:rPr>
                <w:t>Selling Shareholder</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55</w:t>
            </w:r>
          </w:p>
        </w:tc>
      </w:tr>
      <w:tr>
        <w:trPr/>
        <w:tc>
          <w:tcPr>
            <w:tcW w:w="4805" w:type="dxa"/>
            <w:tcBorders/>
            <w:shd w:fill="FFFFFF" w:val="clear"/>
            <w:vAlign w:val="center"/>
          </w:tcPr>
          <w:p>
            <w:pPr>
              <w:pStyle w:val="TableContents"/>
              <w:bidi w:val="0"/>
              <w:spacing w:before="0" w:after="283"/>
              <w:jc w:val="left"/>
              <w:rPr/>
            </w:pPr>
            <w:hyperlink w:anchor="a_013">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55</w:t>
            </w:r>
          </w:p>
        </w:tc>
      </w:tr>
      <w:tr>
        <w:trPr/>
        <w:tc>
          <w:tcPr>
            <w:tcW w:w="4805" w:type="dxa"/>
            <w:tcBorders/>
            <w:shd w:fill="CCEEFF" w:val="clear"/>
            <w:vAlign w:val="center"/>
          </w:tcPr>
          <w:p>
            <w:pPr>
              <w:pStyle w:val="TableContents"/>
              <w:bidi w:val="0"/>
              <w:spacing w:before="0" w:after="283"/>
              <w:jc w:val="left"/>
              <w:rPr/>
            </w:pPr>
            <w:hyperlink w:anchor="a_014">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56</w:t>
            </w:r>
          </w:p>
        </w:tc>
      </w:tr>
      <w:tr>
        <w:trPr/>
        <w:tc>
          <w:tcPr>
            <w:tcW w:w="4805" w:type="dxa"/>
            <w:tcBorders/>
            <w:shd w:fill="FFFFFF" w:val="clear"/>
            <w:vAlign w:val="center"/>
          </w:tcPr>
          <w:p>
            <w:pPr>
              <w:pStyle w:val="TableContents"/>
              <w:bidi w:val="0"/>
              <w:spacing w:before="0" w:after="283"/>
              <w:jc w:val="left"/>
              <w:rPr/>
            </w:pPr>
            <w:hyperlink w:anchor="a_015">
              <w:r>
                <w:rPr>
                  <w:rStyle w:val="InternetLink"/>
                </w:rPr>
                <w:t>Expenses of Issuance and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58</w:t>
            </w:r>
          </w:p>
        </w:tc>
      </w:tr>
      <w:tr>
        <w:trPr/>
        <w:tc>
          <w:tcPr>
            <w:tcW w:w="4805" w:type="dxa"/>
            <w:tcBorders/>
            <w:shd w:fill="CCEEFF" w:val="clear"/>
            <w:vAlign w:val="center"/>
          </w:tcPr>
          <w:p>
            <w:pPr>
              <w:pStyle w:val="TableContents"/>
              <w:bidi w:val="0"/>
              <w:spacing w:before="0" w:after="283"/>
              <w:jc w:val="left"/>
              <w:rPr/>
            </w:pPr>
            <w:hyperlink w:anchor="a_016">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58</w:t>
            </w:r>
          </w:p>
        </w:tc>
      </w:tr>
      <w:tr>
        <w:trPr/>
        <w:tc>
          <w:tcPr>
            <w:tcW w:w="4805" w:type="dxa"/>
            <w:tcBorders/>
            <w:shd w:fill="FFFFFF" w:val="clear"/>
            <w:vAlign w:val="center"/>
          </w:tcPr>
          <w:p>
            <w:pPr>
              <w:pStyle w:val="TableContents"/>
              <w:bidi w:val="0"/>
              <w:spacing w:before="0" w:after="283"/>
              <w:jc w:val="left"/>
              <w:rPr/>
            </w:pPr>
            <w:hyperlink w:anchor="a_017">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58</w:t>
            </w:r>
          </w:p>
        </w:tc>
      </w:tr>
      <w:tr>
        <w:trPr/>
        <w:tc>
          <w:tcPr>
            <w:tcW w:w="4805" w:type="dxa"/>
            <w:tcBorders/>
            <w:shd w:fill="CCEEFF" w:val="clear"/>
            <w:vAlign w:val="center"/>
          </w:tcPr>
          <w:p>
            <w:pPr>
              <w:pStyle w:val="TableContents"/>
              <w:bidi w:val="0"/>
              <w:spacing w:before="0" w:after="283"/>
              <w:jc w:val="left"/>
              <w:rPr/>
            </w:pPr>
            <w:hyperlink w:anchor="a_018">
              <w:r>
                <w:rPr>
                  <w:rStyle w:val="InternetLink"/>
                </w:rPr>
                <w:t>Indemnification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58</w:t>
            </w:r>
          </w:p>
        </w:tc>
      </w:tr>
      <w:tr>
        <w:trPr/>
        <w:tc>
          <w:tcPr>
            <w:tcW w:w="4805" w:type="dxa"/>
            <w:tcBorders/>
            <w:shd w:fill="FFFFFF" w:val="clear"/>
            <w:vAlign w:val="center"/>
          </w:tcPr>
          <w:p>
            <w:pPr>
              <w:pStyle w:val="TableContents"/>
              <w:bidi w:val="0"/>
              <w:spacing w:before="0" w:after="283"/>
              <w:jc w:val="left"/>
              <w:rPr/>
            </w:pPr>
            <w:hyperlink w:anchor="a_019">
              <w:r>
                <w:rPr>
                  <w:rStyle w:val="InternetLink"/>
                </w:rPr>
                <w:t>Enforcement of Civil Liabilities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59</w:t>
            </w:r>
          </w:p>
        </w:tc>
      </w:tr>
      <w:tr>
        <w:trPr/>
        <w:tc>
          <w:tcPr>
            <w:tcW w:w="4805" w:type="dxa"/>
            <w:tcBorders/>
            <w:shd w:fill="CCEEFF" w:val="clear"/>
            <w:vAlign w:val="center"/>
          </w:tcPr>
          <w:p>
            <w:pPr>
              <w:pStyle w:val="TableContents"/>
              <w:bidi w:val="0"/>
              <w:spacing w:before="0" w:after="283"/>
              <w:jc w:val="left"/>
              <w:rPr/>
            </w:pPr>
            <w:hyperlink w:anchor="a_020">
              <w:r>
                <w:rPr>
                  <w:rStyle w:val="InternetLink"/>
                </w:rPr>
                <w:t>Material Changes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60</w:t>
            </w:r>
          </w:p>
        </w:tc>
      </w:tr>
      <w:tr>
        <w:trPr/>
        <w:tc>
          <w:tcPr>
            <w:tcW w:w="4805" w:type="dxa"/>
            <w:tcBorders/>
            <w:shd w:fill="FFFFFF" w:val="clear"/>
            <w:vAlign w:val="center"/>
          </w:tcPr>
          <w:p>
            <w:pPr>
              <w:pStyle w:val="TableContents"/>
              <w:bidi w:val="0"/>
              <w:spacing w:before="0" w:after="283"/>
              <w:jc w:val="left"/>
              <w:rPr/>
            </w:pPr>
            <w:hyperlink w:anchor="a_021">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60</w:t>
            </w:r>
          </w:p>
        </w:tc>
      </w:tr>
      <w:tr>
        <w:trPr/>
        <w:tc>
          <w:tcPr>
            <w:tcW w:w="4805" w:type="dxa"/>
            <w:tcBorders/>
            <w:shd w:fill="CCEEFF" w:val="clear"/>
            <w:vAlign w:val="center"/>
          </w:tcPr>
          <w:p>
            <w:pPr>
              <w:pStyle w:val="TableContents"/>
              <w:bidi w:val="0"/>
              <w:spacing w:before="0" w:after="283"/>
              <w:jc w:val="left"/>
              <w:rPr/>
            </w:pPr>
            <w:hyperlink w:anchor="a_022">
              <w:r>
                <w:rPr>
                  <w:rStyle w:val="InternetLink"/>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supplement and the accompanying prospectus. We have not authorized anyone else to provide you with additional or different information. We are offering to sell, and seeking offers to buy the Securities only in jurisdictions where offers and sales are permitted. You should not assume that the information in this prospectus supplement or the accompanying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and the accompanying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an offering of up to $50,000,000 of our Class A Ordinary Shares through the Sales Agent as sales agent. These sales, if any, will be made pursuant to the terms of the Sales Agreement entered into between us and the Sales Agent on October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are part of a “shelf” registration statement on Form F-3 that we filed with the Securities and Exchange Commission (the “SEC”). On October 8, 2024, we filed with the Securities and Exchange Commission (the “SEC”) a registration statement on Form F-3 (File No. 333-282552), as amended, utilizing a shelf registration process relating to the Securities described in this prospectus supplement. The registration statement was declared effective on November 8, 2024. Under this shelf registration process, we have registered, among others, to sell, from time to time, up to $200,000,000 in the aggregate of Class A Ordinary Shares, preferred shares, debt securities, warrants, rights and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the prospectus supplement, which describes the specific terms of this offering and adds, updates, and changes information contained in the accompanying prospectus. The second part is the accompanying prospectus, which gives more general information, some of which may not apply to this offering. To the extent there is a conflict between the information contained in this prospectus supplement and the information contained in the accompanying prospectus or any document incorporated by reference, you should rely on the information in this prospectus supplement. However, if any statement in one of these documents is inconsistent with a statement in another document with a later date—for example, a document incorporated by reference in this prospectus supplement or the accompanying prospectus—the statement in the document with the later date modifies or supersedes the earlier statement, as our business, financial condition, results of operations, and prospects may have changed since the earlier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include important information about us, our Class A Ordinary Shares, and other information you should know before investing. You should carefully read this prospectus supplement, the accompanying prospectus, all information incorporated by reference herein and therein, as well as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any free writing prospectus may contain and incorporate by reference market data,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it. In addition, the market and industry data and forecasts that may be included or incorporated by reference in this prospectus supplement, the accompanying prospectus, or any applicable free writing prospectus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the accompanying prospectus, any applicable free writing prospectus, and under similar headings in other documents that are incorporated by reference into this prospectus supplement. Accordingly, investors should not place undue reliance on this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 w:name="s_001"/>
      <w:bookmarkEnd w:id="2"/>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securities, you should carefully read this entire prospectus supplement and the accompanying prospectus, including the matters set forth under the section of this prospectus supplement captioned “Risk Factors” and the financial statements and related notes and other information that we incorporate by reference herein, including, but not limited to, our annual reports on Form 20-F and our other reports. See “Incorporation of Certain Information by Reference.”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the context otherwise requires, the terms “we,” “our,” “us,” “the Company,” and similar references in this prospectus refer to SOLOWIN HOLDINGS, an exempted limited liability company incorporated in the Cayman Islands, and its consolidated subsidiaries, including: Solomon JFZ (Asia) Holdings Limited, a Hong Kong corporation (“Solomon JFZ”); Solomon Private Wealth Limited, a Hong Kong corporation (“Solomon Wealth”); Solomon Global Asset Management Limited, a British Virgin Islands company; AlloyX Limited, an exempted company incorporated in the Cayman Islands and its subsidiaries Master Venus Limited, AlloyX (Hong Kong) Limited, AlloyX Group Pte. Limited and Bravo Valor Partners Limited (collectively, the “AlloyX Group”); AlloyX Ventures Limited, a Hong Kong corporation; AX Coin Limited, an exempted company incorporated in the Cayman Islands; AX Coin HK Limited, a Hong Kong corporation; and AX Coin Bahrain B.S.C. Closed, a company organized in the Kingdom of Bahrain (“AX Coin Bahrain”).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r>
        <w:rPr>
          <w:rFonts w:ascii="Times New Roman;Times;Serif" w:hAnsi="Times New Roman;Times;Serif"/>
          <w:b/>
          <w:i w:val="false"/>
          <w:smallCaps/>
          <w:sz w:val="20"/>
          <w:bdr w:val="single" w:sz="12" w:space="1" w:color="000000"/>
        </w:rPr>
        <w:t>The Company</w:t>
      </w:r>
    </w:p>
    <w:p>
      <w:pPr>
        <w:pStyle w:val="TextBody"/>
        <w:bidi w:val="0"/>
        <w:spacing w:before="0" w:after="0"/>
        <w:ind w:left="0" w:right="0" w:hanging="0"/>
        <w:jc w:val="center"/>
        <w:rPr>
          <w:smallCaps/>
          <w:bdr w:val="single" w:sz="12" w:space="1" w:color="000000"/>
        </w:rPr>
      </w:pPr>
      <w:r>
        <w:rPr>
          <w:smallCaps/>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Company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a leading global regulated financial technology company that bridges traditional finance with the digital asset and artificial intelligence (“AI”) economies. Tracing its operating history to 2016 through its Hong Kong subsidiary Solomon JFZ, the Company combines blockchain and artificial intelligence technologies to operate a fully compliant, dual-token digital economy platform. Guided by our mission, “Mobilizing Tokens 24/7,” we focus on tokenization and operate two core business pillars: Digital Asset Tokens and AI Tokens. Our offerings, delivered principally through our subsidiaries — including Solomon JFZ, Solomon Wealth, AlloyX Group, and AX Coin Bahrain — span regulated stablecoin issuance and payments, asset tokenization, securities trading and asset management, and AI-powered enterprise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fiscal year ended March 31, 2026 represented a period of fundamental strategic transformation for the Company. Following the combination with AlloyX Group and the change of our Nasdaq ticker symbol to “AXG,” we executed a deliberate strategic shift to prioritize digital asset and AI infrastructure businesses, while continuing to operate and grow our regulated Hong Kong securities and virtual asset franchise. This evolution transformed the Company from a Hong Kong–centric securities and virtual asset services firm into a global, dual-pillar digital economy infrastructure platform encompassing regulated stablecoin issuance, digital currency treasury and payment infrastructure, real-world asset tokenization, full-licensed brokerage and asset management, and enterprise-grade AI services. The transformation was validated by significant operating momentum: for the fiscal year ended March 31, 2026, we generated revenue of $28.05 million, representing nearly tenfold year-over-year growth from $2.82 million in the prior year, and, in June 2026, our subsidiary AX Coin Bahrain became the first stablecoin issuer to be granted a full license under the Central Bank of Bahrain’s stablecoin regulatory framework.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operations are organized around two complementary and mutually reinforcing strategic pillars. The Digital Asset Tokens pillar provides regulated financial infrastructure for the issuance, trading, custody, payment, and tokenization of digital assets. The AI Tokens pillar provides enterprise-grade AI infrastructure — including AI model aggregation and AI agent governance — that we believe positions the Company at the intersection of two of the most significant secular trends in financial technology: the institutional adoption of regulated stablecoins and tokenized assets, and the enterprise adoption of AI and autonomous agents. The two pillars are connected by shared treasury, custody, payment, and compliance infrastructure, enabling what we refer to as an integrated “dual-token” ecosystem in which both digital asset tokens and AI tokens (units of AI model invocation and agent activity) can be issued, invoked, governed, and settled on a continuous, 24/7 basis. Please see our most recent annual report on Form 20-F for more information regarding our product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shd w:fill="FFFFFF" w:val="clear"/>
        </w:rPr>
        <w:t>Recent Development</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shd w:fill="FFFFFF" w:val="clear"/>
        </w:rPr>
      </w:pPr>
      <w:r>
        <w:rPr>
          <w:rFonts w:ascii="Times New Roman;Times;Serif" w:hAnsi="Times New Roman;Times;Serif"/>
          <w:b/>
          <w:i/>
          <w:caps w:val="false"/>
          <w:smallCaps w:val="false"/>
          <w:sz w:val="20"/>
          <w:bdr w:val="single" w:sz="12" w:space="1" w:color="000000"/>
          <w:shd w:fill="FFFFFF" w:val="clear"/>
        </w:rPr>
        <w:t>Share Consolidation, Share Capital Increase, and the Change of Voting Power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On October 13, 2026, the Company held an extraordinary general meeting of shareholders and approved the following matters: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shd w:fill="FFFFFF" w:val="clear"/>
              </w:rPr>
            </w:pPr>
            <w:r>
              <w:rPr>
                <w:shd w:fill="FFFFFF" w:val="clear"/>
              </w:rPr>
              <w:t>To effectuate a consolidation of its issued and unissued Class A Ordinary Shares and Class B Ordinary Shares at a ratio of 1-for-200 (the “Share Consolidation”) on such date as may be determined in coordination with Nasdaq’s notification requirement as the market effective date, as determined by the board of directors of the Company. As of the date of this prospectus supplement, the Company expects the Share Consolidation to take effect on October 29, 2026.</w:t>
            </w:r>
          </w:p>
        </w:tc>
      </w:tr>
    </w:tbl>
    <w:p>
      <w:pPr>
        <w:pStyle w:val="TextBody"/>
        <w:bidi w:val="0"/>
        <w:spacing w:before="0" w:after="0"/>
        <w:ind w:left="108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1" w:type="dxa"/>
            <w:tcBorders/>
            <w:vAlign w:val="center"/>
          </w:tcPr>
          <w:p>
            <w:pPr>
              <w:pStyle w:val="TableContents"/>
              <w:bidi w:val="0"/>
              <w:spacing w:before="0" w:after="283"/>
              <w:jc w:val="both"/>
              <w:rPr>
                <w:shd w:fill="FFFFFF" w:val="clear"/>
              </w:rPr>
            </w:pPr>
            <w:r>
              <w:rPr>
                <w:shd w:fill="FFFFFF" w:val="clear"/>
              </w:rPr>
              <w:t>Immediately following the Share Consolidation, to increase the authorized share capital of the Company to US$5,000,000,000 divided into 250,000,000,000 shares of a par value of US$0.02 each, consisting of (a) 200,000,000,000 Class A ordinary shares of a par value of US$0.02 each, (b) 25,000,000,000 Class B ordinary shares of a par value of US$0.02 each, and (c) 25,000,000,000 shares of a par value of US$0.02 each of such class or classes (however designated) as the Board may determine in accordance with Article 13 of the Articles of Association of the Company (the “Share Capital Increase”);</w:t>
            </w:r>
          </w:p>
        </w:tc>
      </w:tr>
    </w:tbl>
    <w:p>
      <w:pPr>
        <w:pStyle w:val="TextBody"/>
        <w:bidi w:val="0"/>
        <w:spacing w:before="0" w:after="0"/>
        <w:ind w:left="72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8" w:type="dxa"/>
            <w:tcBorders/>
            <w:vAlign w:val="center"/>
          </w:tcPr>
          <w:p>
            <w:pPr>
              <w:pStyle w:val="TableContents"/>
              <w:bidi w:val="0"/>
              <w:spacing w:before="0" w:after="283"/>
              <w:jc w:val="both"/>
              <w:rPr>
                <w:shd w:fill="FFFFFF" w:val="clear"/>
              </w:rPr>
            </w:pPr>
            <w:r>
              <w:rPr>
                <w:shd w:fill="FFFFFF" w:val="clear"/>
              </w:rPr>
              <w:t>Upon receipt of the approval from the holders of the Class B Ordinary Shares on October 2, 2026, to amend the second amended and restated articles of association to change the voting power of Class B Ordinary Shares from 10 votes per share to 50 votes per share (“Change of Voting Power”); and</w:t>
            </w:r>
          </w:p>
        </w:tc>
      </w:tr>
    </w:tbl>
    <w:p>
      <w:pPr>
        <w:pStyle w:val="TextBody"/>
        <w:bidi w:val="0"/>
        <w:spacing w:before="0" w:after="0"/>
        <w:ind w:left="72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(iv)</w:t>
            </w:r>
          </w:p>
        </w:tc>
        <w:tc>
          <w:tcPr>
            <w:tcW w:w="9878" w:type="dxa"/>
            <w:tcBorders/>
            <w:vAlign w:val="center"/>
          </w:tcPr>
          <w:p>
            <w:pPr>
              <w:pStyle w:val="TableContents"/>
              <w:bidi w:val="0"/>
              <w:spacing w:before="0" w:after="283"/>
              <w:jc w:val="both"/>
              <w:rPr>
                <w:shd w:fill="FFFFFF" w:val="clear"/>
              </w:rPr>
            </w:pPr>
            <w:r>
              <w:rPr>
                <w:shd w:fill="FFFFFF" w:val="clear"/>
              </w:rPr>
              <w:t>To approve the third amended and restated memorandum and articles of association to reflect the Share Consolidation, the Share Capital Increase and the Change of Voting Power. The form of the third amended and restated memorandum and articles of association was attached as Appendix A to the notice of the extraordinary general meeting of shareholders, which was filed as exhibit 99.1 to the Company’s Current Report on Form 6-K dated October 2, 2026.</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Convertible Notes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10, 2026, the Company closed the transactions contemplated by two securities purchase agreements, in the same form, dated as of September 10, 2026 (the “September 2026 SPAs”), with two institutional investors respectively.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such September 2026 SPAs, the Company issued and delivered to each investor a promissory note in the principal amount of $ 425,000.00, inclusive of $30,000 original issuance discount (the “September 2026 Notes”). The Company also issued an aggregate of 100,000 Class A Ordinary Shares to each investors, respectively, as commitment shares, as additional consideration in connection with the issuance of the September 2026 Notes.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Each September 2026 Note bears an interest charge of $34,000 and will mature in 12 months following the issuance. The September 2026 Notes are convertible into shares of the Company’s Class A Ordinary Shares, at a conversion price equal to $1 as adjusted according to the terms thereof.</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According to the September 2026 SPAs, the investors are granted piggyback registration rights, pursuant to which, if the Company proposes to file a registration statement covering any of its securities, it must provide the investors with at least seven (7) calendar days’ prior written notice. Upon the investor’s written request within three (3) calendar days after receipt of such notice, the Company is required, at its sole expense, to include the all the shares issuable upon conversion of the September 2026 Notes and the commitment shares requested by the investors in such registration statement to permit their resale. Furthermore, the Company agreed that until the earlier of (i) 24 months following the date of the September 2026 SPAs and (ii) the date on which the September 2026 Notes are fully extinguished, it will not enter into or effect any “Variable Rate Transaction” as defined in the September 2026 SPAs. The Investors have provided written confirmation to the Company of their one-time waivers of the piggyback registration rights and the restrictions on Variable Rate Transactions under the September 2026 SPAs, in each case solely with respect to this Offering.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the September 2026 SPAs and the September 2026 Notes contain customary and transaction-specific covenants, including public information covenants, right of participation, and most favored nation.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September 2026 Notes contain events of default including, without limitation, payment defaults, breach of covenants, breach of representations and warranties, failure to deliver conversion shares, bankruptcy or insolvency events, transfer-agent-related defaults, transmission of material non-public information not cured by a same-day Form 6-K, unavailability of Rule 144, delisting, trading suspension or failure to be listed or quoted on a principal market, failure to pay an amortization payment, and failure to maintain certain market capitalization.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an event of default, the September 2026 Notes will become immediately due and payable in an amount equal to the then-outstanding principal amount plus accrued interest, including default interest, multiplied by 200%, plus costs of collection. The principal balance of the September 2026 Note will increase by $5,000.00 on the first day of each calendar month after the date of the occurrence of an event of default thereunder until such September 2026 Note is repaid in the entirety. The holder may, in its sole discretion, convert all or any portion of the September 2026 Note, including the default amount, into Class A Ordinary Shares pursuant to the terms of the September 2026 Note.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foregoing descriptions of the September 2026 SPAs and the September 2026 Notes do not purport to be complete and are qualified in their entirety by reference to the full text of the forms of the September 2026 SPAs and the September 2026 Notes, which are filed as exhibits to the Company’s Current Report on Form 6-K dated October 22, 2026, and incorporated herein by reference.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The following diagram illustrates the Company’s corporate structure (reflecting the Company and its consolidated subsidiaries) as of the date of this prospectus supplement:</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858000" cy="2933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93370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Legal Proceeding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from time to time become involved in legal proceedings or be subject to claims arising in the ordinary course of our business. Litigation or any other legal or administrative proceeding, regardless of the outcome, is likely to result in substantial costs and diversion of our resources, including our management’s time and attention.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On June 16, 2026, the Company received a subpoena from the SEC Division of Enforcement in the investigation captioned as “Trading in the Securities of Solowin Holdings”. The subpoena was issued as part of an investigation as to whether we and/or certain of our officers, directors, employees, partners, subsidiaries and/or affiliates, and/or other persons or entities, directly or indirectly, violated certain provisions of the Exchange Act, in connection with the purchase and sale of our securities. This investigation is a non-public, fact-finding inquiry. The SEC has informed the Company that this inquiry should not be construed as an indication that any violations of law have occurred or that the SEC has any negative opinion of any person, entity or security. As of the date of this prospectus supplement, the Company is cooperating with the SEC in connection with the subpoena and is in the process of producing the requested documents and information. The SEC may in the future require us to produce additional documents or information, or seek testimony from members of our management team or others.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Except for as disclosed above, we are not aware of any such legal proceedings or claims that we believe will have a material adverse effect on our business, financial condition or operating results.</w:t>
      </w:r>
    </w:p>
    <w:p>
      <w:pPr>
        <w:pStyle w:val="TextBody"/>
        <w:bidi w:val="0"/>
        <w:spacing w:before="0" w:after="0"/>
        <w:ind w:left="0" w:right="0" w:hanging="0"/>
        <w:jc w:val="both"/>
        <w:rPr>
          <w:caps w:val="false"/>
          <w:smallCaps w:val="false"/>
          <w:bdr w:val="single" w:sz="12" w:space="1" w:color="000000"/>
          <w:shd w:fill="FFFFFF" w:val="clear"/>
        </w:rPr>
      </w:pPr>
      <w:r>
        <w:rPr>
          <w:caps w:val="false"/>
          <w:smallCaps w:val="false"/>
          <w:bdr w:val="single" w:sz="12" w:space="1" w:color="000000"/>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Transfer of Cash Through Our Organization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As of the date of this prospectus supplement, neither the Company nor any of its subsidiaries has paid any dividends or made any distributions to their respective shareholder(s), including any U.S.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During the years ended March 31, 2026, 2025 and 2024, and the subsequent period up to the date of this prospectus supplement, the transfer of cash between the Company and its Hong Kong subsidiaries, which includes Solomon JFZ, Solomon Wealth, AlloyX (Hong Kong) Limited, AX Coin HK Limited and AlloyX Ventures Limited (collectively, the “HK Subsidiaries”), totaled approximately $9,083,000. This amount mainly represented the repayment of $774,000 by the Company to Solomon JFZ for certain IPO related expenses advanced by Solomon JFZ, as well as advances made by the Company to Solomon JFZ, Solomon Wealth, and AlloyX (Hong Kong) Limited to support their operations. There has been no transfer of other types of assets between the Company and the HK Subsidiaries. The HK Subsidiaries, which conduct our substantive operations, maintain the cash. Currently, other than complying with the applicable Hong Kong laws and regulations, we do not have our own cash management policy or procedures that dictate how funds are transferred.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Neither the Company nor any of its subsidiaries currently has any plans to distribute earnings or declare cash dividends in the foreseeable future. We intend to keep any future earnings to finance the expansion of our business, and we do not anticipate that any cash dividends will be paid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If we determine to pay dividends on any of our Class A Ordinary Shares in the future, as a holding company, the Company will be dependent on receipt of funds from its subsidiaries by way of dividend payments.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The Companies Act (As Revised) of the Cayman Islands permits, subject to a solvency test and the provisions, if any, of the Company’s second amended and restated memorandum and articles of association, as amended,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 In addition, the Company is permitted under the laws of Cayman Islands to provide funding to its subsidiaries through loans or capital contributions without restrictions on the amount of the funds.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Each of our HK Subsidiaries is permitted under the laws of Hong Kong to provide funding to the Company through dividends distributions. 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 In addition, there are no restrictions on foreign exchange and there are no limitations on the abilities of the Company to transfer cash to or from its HK Subsidiaries or to investors under Hong Kong law. There are no restrictions or limitation under the laws of Hong Kong imposed on the conversion of Hong Kong dollars into foreign currencies and the remittance of currencies out of Hong Kong, nor is there any restriction on foreign exchange to transfer cash between the Company and its HK Subsidiaries across borders and to U.S. investors. Nor are there any restrictions and limitations on distributing earnings from our HK Subsidiaries to the Company or U.S. investors, or paying amounts owed.</w:t>
      </w:r>
    </w:p>
    <w:p>
      <w:pPr>
        <w:pStyle w:val="TextBody"/>
        <w:bidi w:val="0"/>
        <w:spacing w:before="0" w:after="0"/>
        <w:ind w:left="0" w:right="0" w:hanging="0"/>
        <w:jc w:val="both"/>
        <w:rPr>
          <w:caps w:val="false"/>
          <w:smallCaps w:val="false"/>
          <w:bdr w:val="single" w:sz="12" w:space="1" w:color="000000"/>
          <w:shd w:fill="FFFFFF" w:val="clear"/>
        </w:rPr>
      </w:pPr>
      <w:r>
        <w:rPr>
          <w:caps w:val="false"/>
          <w:smallCaps w:val="false"/>
          <w:bdr w:val="single" w:sz="12" w:space="1" w:color="000000"/>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The table below presents the cash flows from the Company to its subsidiaries for the fiscal years ended March 31, 2026, 2025 and 2024, and the subsequent period up to the date of this prospectus supplement.</w:t>
      </w:r>
    </w:p>
    <w:p>
      <w:pPr>
        <w:pStyle w:val="TextBody"/>
        <w:bidi w:val="0"/>
        <w:spacing w:before="0" w:after="0"/>
        <w:ind w:left="0" w:right="0" w:hanging="0"/>
        <w:jc w:val="both"/>
        <w:rPr>
          <w:caps w:val="false"/>
          <w:smallCaps w:val="false"/>
          <w:bdr w:val="single" w:sz="12" w:space="1" w:color="000000"/>
          <w:shd w:fill="FFFFFF" w:val="clear"/>
        </w:rPr>
      </w:pPr>
      <w:r>
        <w:rPr>
          <w:caps w:val="false"/>
          <w:smallCaps w:val="false"/>
          <w:bdr w:val="single" w:sz="12" w:space="1" w:color="000000"/>
          <w:shd w:fill="FFFFFF" w:val="clear"/>
        </w:rPr>
        <w:t> </w:t>
      </w:r>
    </w:p>
    <w:tbl>
      <w:tblPr>
        <w:tblW w:w="10029" w:type="dxa"/>
        <w:jc w:val="left"/>
        <w:tblInd w:w="0" w:type="dxa"/>
        <w:tblLayout w:type="fixed"/>
        <w:tblCellMar>
          <w:top w:w="0" w:type="dxa"/>
          <w:left w:w="0" w:type="dxa"/>
          <w:bottom w:w="0" w:type="dxa"/>
          <w:right w:w="0" w:type="dxa"/>
        </w:tblCellMar>
      </w:tblPr>
      <w:tblGrid>
        <w:gridCol w:w="4955"/>
        <w:gridCol w:w="60"/>
        <w:gridCol w:w="140"/>
        <w:gridCol w:w="980"/>
        <w:gridCol w:w="60"/>
        <w:gridCol w:w="60"/>
        <w:gridCol w:w="140"/>
        <w:gridCol w:w="800"/>
        <w:gridCol w:w="60"/>
        <w:gridCol w:w="60"/>
        <w:gridCol w:w="140"/>
        <w:gridCol w:w="800"/>
        <w:gridCol w:w="60"/>
        <w:gridCol w:w="60"/>
        <w:gridCol w:w="235"/>
        <w:gridCol w:w="1344"/>
        <w:gridCol w:w="75"/>
      </w:tblGrid>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March 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9" w:type="dxa"/>
            <w:gridSpan w:val="2"/>
            <w:tcBorders/>
            <w:vAlign w:val="center"/>
          </w:tcPr>
          <w:p>
            <w:pPr>
              <w:pStyle w:val="TableContents"/>
              <w:bidi w:val="0"/>
              <w:spacing w:before="0" w:after="283"/>
              <w:jc w:val="center"/>
              <w:rPr>
                <w:b/>
              </w:rPr>
            </w:pPr>
            <w:r>
              <w:rPr>
                <w:b/>
              </w:rPr>
              <w:t xml:space="preserve">Interim Period </w:t>
              <w:br/>
              <w:t>(April 1,</w:t>
            </w:r>
          </w:p>
        </w:tc>
        <w:tc>
          <w:tcPr>
            <w:tcW w:w="75" w:type="dxa"/>
            <w:tcBorders/>
            <w:vAlign w:val="center"/>
          </w:tcPr>
          <w:p>
            <w:pPr>
              <w:pStyle w:val="TableContents"/>
              <w:bidi w:val="0"/>
              <w:spacing w:before="0" w:after="283"/>
              <w:jc w:val="center"/>
              <w:rPr/>
            </w:pPr>
            <w:r>
              <w:rPr/>
              <w:t> </w:t>
            </w:r>
          </w:p>
        </w:tc>
      </w:tr>
      <w:tr>
        <w:trPr/>
        <w:tc>
          <w:tcPr>
            <w:tcW w:w="4955" w:type="dxa"/>
            <w:tcBorders>
              <w:bottom w:val="single" w:sz="12" w:space="0" w:color="000000"/>
            </w:tcBorders>
            <w:tcMar>
              <w:bottom w:w="28" w:type="dxa"/>
            </w:tcMar>
            <w:vAlign w:val="center"/>
          </w:tcPr>
          <w:p>
            <w:pPr>
              <w:pStyle w:val="TableContents"/>
              <w:bidi w:val="0"/>
              <w:spacing w:before="0" w:after="283"/>
              <w:jc w:val="left"/>
              <w:rPr>
                <w:b/>
              </w:rPr>
            </w:pPr>
            <w:r>
              <w:rPr>
                <w:b/>
              </w:rPr>
              <w:t>Cash Flows Between Company and Subsidiaries</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2026-Present)</w:t>
            </w:r>
          </w:p>
        </w:tc>
        <w:tc>
          <w:tcPr>
            <w:tcW w:w="75" w:type="dxa"/>
            <w:tcBorders/>
            <w:vAlign w:val="center"/>
          </w:tcPr>
          <w:p>
            <w:pPr>
              <w:pStyle w:val="TableContents"/>
              <w:bidi w:val="0"/>
              <w:spacing w:before="0" w:after="283"/>
              <w:jc w:val="center"/>
              <w:rPr/>
            </w:pPr>
            <w:r>
              <w:rPr/>
              <w:t> </w:t>
            </w:r>
          </w:p>
        </w:tc>
      </w:tr>
      <w:tr>
        <w:trPr/>
        <w:tc>
          <w:tcPr>
            <w:tcW w:w="4955" w:type="dxa"/>
            <w:tcBorders/>
            <w:shd w:fill="CCEEFF" w:val="clear"/>
            <w:vAlign w:val="center"/>
          </w:tcPr>
          <w:p>
            <w:pPr>
              <w:pStyle w:val="TableContents"/>
              <w:bidi w:val="0"/>
              <w:spacing w:before="0" w:after="283"/>
              <w:jc w:val="left"/>
              <w:rPr/>
            </w:pPr>
            <w:r>
              <w:rPr/>
              <w:t>Solomon JFZ (Asia) Holdings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344" w:type="dxa"/>
            <w:tcBorders/>
            <w:shd w:fill="CCEEFF" w:val="clear"/>
            <w:vAlign w:val="center"/>
          </w:tcPr>
          <w:p>
            <w:pPr>
              <w:pStyle w:val="TableContents"/>
              <w:bidi w:val="0"/>
              <w:spacing w:before="0" w:after="283"/>
              <w:jc w:val="right"/>
              <w:rPr/>
            </w:pPr>
            <w:r>
              <w:rPr/>
              <w:t>660,000</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Solomon Private Wealth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right"/>
              <w:rPr/>
            </w:pPr>
            <w:r>
              <w:rPr/>
              <w:t>470,000</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AlloyX (Hong Kong)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231,000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currently no such restrictions on foreign exchange or our ability to transfer cash or assets between the Company and the HK Subsidiaries. However, if certain laws and regulations in the People’s Republic of China (the “PRC”), including existing laws and regulations and those enacted or promulgated in the future were to become applicable to the HK Subsidiaries, and to the extent our cash or assets are in Hong Kong or a Hong Kong entity, such funds or assets may not be available to fund operations or for other use outside of Hong Kong due to interventions in or the imposition of restrictions and limitations on our HK Subsidiaries’ ability to transfer funds or assets by the PRC government. Furthermore, we cannot assure you that the PRC government will not intervene or impose restrictions on the Company or the HK Subsidiaries in their transferring or distributing cash within the organization, which could result in an inability of or prohibition on making transfers or distributions to entities outside of Hong Kong. Any limitation on the ability of the HK Subsidiaries to pay dividends or make other distributions to the Company could materially and adversely limit our ability to grow, make investments or acquisitions that could be beneficial to our business, pay dividends to U.S. investors, or otherwise fund and conduct our business. In addition, if any HK Subsidiary incurs debt on its own behalf in the future, the instruments governing such debt may restrict its ability to pay dividends</w:t>
      </w:r>
      <w:r>
        <w:rPr>
          <w:rFonts w:ascii="Times New Roman;Times;Serif" w:hAnsi="Times New Roman;Times;Serif"/>
          <w:b w:val="false"/>
          <w:i/>
          <w:caps w:val="false"/>
          <w:smallCaps w:val="false"/>
          <w:sz w:val="20"/>
          <w:bdr w:val="single" w:sz="12" w:space="1" w:color="000000"/>
          <w:shd w:fill="FFFFFF" w:val="clear"/>
        </w:rPr>
        <w:t>.</w:t>
      </w:r>
    </w:p>
    <w:p>
      <w:pPr>
        <w:pStyle w:val="TextBody"/>
        <w:bidi w:val="0"/>
        <w:spacing w:before="0" w:after="0"/>
        <w:ind w:left="0" w:right="0" w:hanging="0"/>
        <w:jc w:val="both"/>
        <w:rPr>
          <w:caps w:val="false"/>
          <w:smallCaps w:val="false"/>
          <w:bdr w:val="single" w:sz="12" w:space="1" w:color="000000"/>
          <w:shd w:fill="FFFFFF" w:val="clear"/>
        </w:rPr>
      </w:pPr>
      <w:r>
        <w:rPr>
          <w:caps w:val="false"/>
          <w:smallCaps w:val="false"/>
          <w:bdr w:val="single" w:sz="12" w:space="1" w:color="000000"/>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Regulatory Permissions for Our Business Operations and Securities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As of the date of this prospectus supplement, Solomon JFZ, our wholly owned Hong Kong subsidiary, holds a full stack of Hong Kong Securities and Futures Commission licenses, including Type 1 license (dealing in securities), Type 4 license (Advising on securities), Type 6 license (advising on corporate finance) and Type 9 license (Asset management).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Following the acquisition of AlloyX Group in September 2025, the Company has expanded its global regulatory footprint beyond Hong Kong, obtaining a suite of valid payment, money services and stablecoin-related registrations and licenses across Singapore, the United States, Canada and Bahrain through its overseas subsidiaries. These overseas qualifications cover core businesses including currency exchange, cross-border remittance and fund transmission, virtual asset services and regulated stablecoin issuance, fully supporting the Company’s global stablecoin payment, cross-border settlement and digital asset infrastructure operations. All overseas subsidiaries hold effective and in-force regulatory qualifications with no denial or revocation records, and strictly comply with local regulatory ongoing supervision, compliance reporting and risk control requirements.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We do not believe our operations in Hong Kong and future offerings in the United States are subject to the review or prior approval of the Cyberspace Administration of China (the “CAC”) or the China Securities Regulatory Commission (the “CSRC”). Specially, we do not currently expect the revised Cybersecurity Review Measures (the “revised CRM”), published by the CAC on December 28, 2021, to have an impact on our business, operations or future offerings as we do not believe that any of our HK Subsidiaries is deemed to be an “operator of critical information infrastructure” or a “data processor” controlling personal information of no less than one million users, that are required to file for cybersecurity review, because: (i) each of our HK Subsidiaries is incorporated and operating in Hong Kong and the revised CRM remains unclear whether it shall be applied to a Hong Kong company; (ii) each of our HK Subsidiaries operates without any subsidiary or variable interest entity structure in mainland China; (iii) as of date of this prospectus supplement, our HK Subsidiaries collected and stored personal information of approximately 15,000 PRC individual clients, far less than one million users; and (vi) as of the date of this prospectus supplement, none of our HK Subsidiaries has been informed by any PRC governmental authority that it is required to file for a cybersecurity review.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However, there remains significant uncertainty in the interpretation and enforcement of relevant PRC cybersecurity laws and regulations. If any of our HK Subsidiaries is deemed to be an “operator of critical information infrastructure” or a “data processor” controlling personal information of no less than one million users, our HK Subsidiaries’ operation could be subject to the CAC’s cybersecurity review in the future. If any of our HK Subsidiaries (i) does not receive or maintain such permissions or approvals, should the approval is required in the future by the PRC government, (ii) inadvertently concluded that such permissions or approvals are not required, or (iii) applicable laws, regulations, or interpretations change and any of our HK Subsidiaries is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 In addition, if we do not receive or maintain our existing licenses, or we inadvertently conclude that governmental approvals are not required, or applicable laws, regulations, or interpretations change such that we are required to obtain approval in the future and we fail to obtain such approval on a timely basis, we may be subject to governmental investigations, fines, penalties, orders to suspend operations and rectify any non-compliance, or prohibitions from conducting certain business or any financing, which could result in a material adverse change in our operations, significantly limit or completely hinder our ability to offer or continue to offer securities to investors, or cause our securities to significantly decline in value or become worthless.</w:t>
      </w:r>
    </w:p>
    <w:p>
      <w:pPr>
        <w:pStyle w:val="TextBody"/>
        <w:bidi w:val="0"/>
        <w:spacing w:before="0" w:after="0"/>
        <w:ind w:left="0" w:right="0" w:hanging="0"/>
        <w:jc w:val="both"/>
        <w:rPr>
          <w:caps w:val="false"/>
          <w:smallCaps w:val="false"/>
          <w:bdr w:val="single" w:sz="12" w:space="1" w:color="000000"/>
          <w:shd w:fill="FFFFFF" w:val="clear"/>
        </w:rPr>
      </w:pPr>
      <w:r>
        <w:rPr>
          <w:caps w:val="false"/>
          <w:smallCaps w:val="false"/>
          <w:bdr w:val="single" w:sz="12" w:space="1" w:color="000000"/>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Holding Foreign Company Accountable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more stringent standards have been imposed by the SEC and the Public Company Accounting Oversight Board (the “PCAOB”) recently, the Company’s securities may be prohibited from trading if our auditor cannot be fully inspected by the PCAOB. Pursuant to the Holding Foreign Companies Accountable Act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The New York Stock Exchange and Nasdaq, or in U.S. over-the-counter markets. On December 29, 2022, the Consolidated Appropriations Act, 2023 was enacted, which contained an identical provision to the HFCA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were headquartered in Mainland China or Hong Kong. This list did not include our former auditor, WWC, P.C., which served as the Company’s auditor from 2022 until November 2025, as WWC, P.C. had been based in the U.S. and registered with the PCAOB and subject to the PCAOB inspection. On August 26, 2022, the CSRC, the Ministry of Finance of the PRC, and the PCAOB signed a Statement of Protocol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Our current auditor, AOGB CPA Limited, an independent public accounting firm registered with the PCAOB and appointed by the Company on November 11, 2025, is headquartered in Hong Kong. Uncertainties still exist as to whether the PCAOB will have continued access for complete inspections and investigations in the future. The PCAOB has indicated that it will act immediately to consider the need to issue new determinations if needed. While our current auditor is subject to the PCAOB inspection, in the event the PCAOB later determines that it is unable to inspect or investigate it completely, then such lack of inspection could cause our securities to be delisted from Nasdaq.</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Room 1910-1912A, Tower 3, China Hong Kong City, 33 Canton Road, Tsim Sha Tsui, Kowloon, Hong Kong.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registered office is currently located at the office of Conyers Trust Company (Cayman) Limited at Cricket Square, Hutchins Drive, PO Box 2681, Grand Cayman KY1-1111, Cayman Islands which may be changed from time to time at the discretion of directors.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website can be found at www.alloyx.com. The information contained on our website is not a part of this prospectus supplement, nor is such content incorporated by reference herein, and should not be relied upon in determining whether to make an investment in our securities</w:t>
      </w:r>
      <w:r>
        <w:rPr>
          <w:rFonts w:ascii="Times New Roman;Times;Serif" w:hAnsi="Times New Roman;Times;Serif"/>
          <w:b w:val="false"/>
          <w:i w:val="false"/>
          <w:caps w:val="false"/>
          <w:smallCaps w:val="false"/>
          <w:sz w:val="20"/>
          <w:bdr w:val="single" w:sz="12" w:space="1" w:color="000000"/>
          <w:shd w:fill="FFFFFF" w:val="clear"/>
        </w:rPr>
        <w:t>.</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mallCaps/>
          <w:bdr w:val="single" w:sz="12" w:space="1" w:color="000000"/>
        </w:rPr>
      </w:pPr>
      <w:r>
        <w:rPr>
          <w:smallCaps/>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r>
        <w:rPr>
          <w:rFonts w:ascii="Times New Roman;Times;Serif" w:hAnsi="Times New Roman;Times;Serif"/>
          <w:b/>
          <w:i w:val="false"/>
          <w:smallCaps/>
          <w:sz w:val="20"/>
          <w:bdr w:val="single" w:sz="12" w:space="1" w:color="000000"/>
        </w:rPr>
        <w:t>The Offering</w:t>
      </w:r>
    </w:p>
    <w:p>
      <w:pPr>
        <w:pStyle w:val="TextBody"/>
        <w:bidi w:val="0"/>
        <w:spacing w:before="0" w:after="0"/>
        <w:ind w:left="0" w:right="0" w:hanging="0"/>
        <w:jc w:val="center"/>
        <w:rPr>
          <w:smallCaps/>
          <w:bdr w:val="single" w:sz="12" w:space="1" w:color="000000"/>
        </w:rPr>
      </w:pPr>
      <w:r>
        <w:rPr>
          <w:small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21"/>
        <w:gridCol w:w="90"/>
        <w:gridCol w:w="8094"/>
      </w:tblGrid>
      <w:tr>
        <w:trPr/>
        <w:tc>
          <w:tcPr>
            <w:tcW w:w="2021"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Securities Offered:</w:t>
            </w:r>
          </w:p>
        </w:tc>
        <w:tc>
          <w:tcPr>
            <w:tcW w:w="90" w:type="dxa"/>
            <w:tcBorders/>
            <w:vAlign w:val="center"/>
          </w:tcPr>
          <w:p>
            <w:pPr>
              <w:pStyle w:val="TableContents"/>
              <w:bidi w:val="0"/>
              <w:spacing w:before="0" w:after="283"/>
              <w:jc w:val="left"/>
              <w:rPr/>
            </w:pPr>
            <w:r>
              <w:rPr/>
              <w:t> </w:t>
            </w:r>
          </w:p>
        </w:tc>
        <w:tc>
          <w:tcPr>
            <w:tcW w:w="809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Up to an aggregate of $50,000,000 of our Class A Ordinary Shares pursuant to the Sales Agreement through the Sales Agent as sales agent. See “Plan of Distribution” beginning on page S-14 of this prospectus supplement.</w:t>
            </w:r>
          </w:p>
        </w:tc>
      </w:tr>
      <w:tr>
        <w:trPr/>
        <w:tc>
          <w:tcPr>
            <w:tcW w:w="20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94" w:type="dxa"/>
            <w:tcBorders/>
            <w:vAlign w:val="center"/>
          </w:tcPr>
          <w:p>
            <w:pPr>
              <w:pStyle w:val="TableContents"/>
              <w:bidi w:val="0"/>
              <w:spacing w:before="0" w:after="283"/>
              <w:ind w:left="0" w:right="0" w:hanging="180"/>
              <w:jc w:val="both"/>
              <w:rPr/>
            </w:pPr>
            <w:r>
              <w:rPr/>
              <w:t> </w:t>
            </w:r>
          </w:p>
        </w:tc>
      </w:tr>
      <w:tr>
        <w:trPr/>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Outstanding Immediately Before the Offering:</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181,529,461 Class A Ordinary Shares and 31,371,599 Class B Ordinary Shares.</w:t>
            </w:r>
          </w:p>
        </w:tc>
      </w:tr>
      <w:tr>
        <w:trPr/>
        <w:tc>
          <w:tcPr>
            <w:tcW w:w="20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pPr>
            <w:r>
              <w:rPr/>
              <w:t> </w:t>
            </w:r>
          </w:p>
        </w:tc>
      </w:tr>
      <w:tr>
        <w:trPr/>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offering</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pPr>
            <w:r>
              <w:rPr/>
              <w:t>“</w:t>
            </w:r>
            <w:r>
              <w:rPr>
                <w:rFonts w:ascii="Times New Roman;Times;Serif" w:hAnsi="Times New Roman;Times;Serif"/>
                <w:sz w:val="20"/>
              </w:rPr>
              <w:t>At the market offering” made from time to time through the Sales Agent as sales agent. See the section of this prospectus supplement entitled “Plan of Distribution” beginning on page S-14 for additional detail.</w:t>
            </w:r>
          </w:p>
        </w:tc>
      </w:tr>
      <w:tr>
        <w:trPr/>
        <w:tc>
          <w:tcPr>
            <w:tcW w:w="20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pPr>
            <w:r>
              <w:rPr/>
              <w:t> </w:t>
            </w:r>
          </w:p>
        </w:tc>
      </w:tr>
      <w:tr>
        <w:trPr/>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intend to use the net proceeds from this offering primarily for working capital and general corporate purposes, stablecoin-related initiatives and payment infrastructure development, and, to the extent sufficient proceeds are available, for AIDC development, personnel and marketing expenses and potential strategic acquisitions. See “</w:t>
            </w:r>
            <w:r>
              <w:rPr>
                <w:rFonts w:ascii="Times New Roman;Times;Serif" w:hAnsi="Times New Roman;Times;Serif"/>
                <w:i/>
                <w:sz w:val="20"/>
              </w:rPr>
              <w:t>Use of Proceeds”</w:t>
            </w:r>
            <w:r>
              <w:rPr>
                <w:rFonts w:ascii="Times New Roman;Times;Serif" w:hAnsi="Times New Roman;Times;Serif"/>
                <w:sz w:val="20"/>
              </w:rPr>
              <w:t>.</w:t>
            </w:r>
          </w:p>
        </w:tc>
      </w:tr>
      <w:tr>
        <w:trPr/>
        <w:tc>
          <w:tcPr>
            <w:tcW w:w="20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pPr>
            <w:r>
              <w:rPr/>
              <w:t> </w:t>
            </w:r>
          </w:p>
        </w:tc>
      </w:tr>
      <w:tr>
        <w:trPr/>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Investing in our securities involves a high degree of risk. For a discussion of factors you should consider carefully before deciding to invest in our securities, see “</w:t>
            </w:r>
            <w:r>
              <w:rPr>
                <w:rFonts w:ascii="Times New Roman;Times;Serif" w:hAnsi="Times New Roman;Times;Serif"/>
                <w:i/>
                <w:sz w:val="20"/>
              </w:rPr>
              <w:t>Risk Factors</w:t>
            </w:r>
            <w:r>
              <w:rPr>
                <w:rFonts w:ascii="Times New Roman;Times;Serif" w:hAnsi="Times New Roman;Times;Serif"/>
                <w:sz w:val="20"/>
              </w:rPr>
              <w:t>” beginning on page S-7 of this prospectus supplement and on page 12 of the accompanying prospectus and other information included or incorporated by reference in this prospectus supplement and the accompanying prospectus.</w:t>
            </w:r>
          </w:p>
        </w:tc>
      </w:tr>
      <w:tr>
        <w:trPr/>
        <w:tc>
          <w:tcPr>
            <w:tcW w:w="20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pPr>
            <w:r>
              <w:rPr/>
              <w:t> </w:t>
            </w:r>
          </w:p>
        </w:tc>
      </w:tr>
      <w:tr>
        <w:trPr/>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Market and Symbol:</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Class A Ordinary Shares are listed on Nasdaq under the symbol “AXG.”</w:t>
            </w:r>
          </w:p>
        </w:tc>
      </w:tr>
      <w:tr>
        <w:trPr/>
        <w:tc>
          <w:tcPr>
            <w:tcW w:w="20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ind w:left="0" w:right="0" w:hanging="180"/>
              <w:jc w:val="both"/>
              <w:rPr/>
            </w:pPr>
            <w:r>
              <w:rPr/>
              <w:t> </w:t>
            </w:r>
          </w:p>
        </w:tc>
      </w:tr>
      <w:tr>
        <w:trPr/>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Agent and Registrar:</w:t>
            </w:r>
          </w:p>
        </w:tc>
        <w:tc>
          <w:tcPr>
            <w:tcW w:w="90" w:type="dxa"/>
            <w:tcBorders/>
            <w:vAlign w:val="center"/>
          </w:tcPr>
          <w:p>
            <w:pPr>
              <w:pStyle w:val="TableContents"/>
              <w:bidi w:val="0"/>
              <w:spacing w:before="0" w:after="283"/>
              <w:jc w:val="both"/>
              <w:rPr/>
            </w:pPr>
            <w:r>
              <w:rPr/>
              <w:t> </w:t>
            </w:r>
          </w:p>
        </w:tc>
        <w:tc>
          <w:tcPr>
            <w:tcW w:w="80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Transhare Corporation.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040" w:type="dxa"/>
        <w:jc w:val="left"/>
        <w:tblInd w:w="0" w:type="dxa"/>
        <w:tblLayout w:type="fixed"/>
        <w:tblCellMar>
          <w:top w:w="0" w:type="dxa"/>
          <w:left w:w="0" w:type="dxa"/>
          <w:bottom w:w="0" w:type="dxa"/>
          <w:right w:w="0" w:type="dxa"/>
        </w:tblCellMar>
      </w:tblPr>
      <w:tblGrid>
        <w:gridCol w:w="260"/>
        <w:gridCol w:w="878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our Class A Ordinary Shares outstanding immediately before and after this offering excludes:</w:t>
            </w:r>
          </w:p>
        </w:tc>
      </w:tr>
    </w:tbl>
    <w:p>
      <w:pPr>
        <w:pStyle w:val="TextBody"/>
        <w:bidi w:val="0"/>
        <w:spacing w:before="0" w:after="0"/>
        <w:ind w:left="360" w:right="0" w:hanging="360"/>
        <w:jc w:val="both"/>
        <w:rPr>
          <w:caps w:val="false"/>
          <w:smallCaps w:val="false"/>
          <w:bdr w:val="single" w:sz="12" w:space="1" w:color="000000"/>
        </w:rPr>
      </w:pPr>
      <w:r>
        <w:rPr>
          <w:caps w:val="false"/>
          <w:smallCaps w:val="false"/>
          <w:bdr w:val="single" w:sz="12" w:space="1" w:color="000000"/>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41,100 Class A Ordinary Shares reserved under our Amended and Restated 2023 Equity Incentive Plan;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578,900 Class A Ordinary Shares issuable upon the exercise of outstanding options granted under our Amended and Restated 2023 Equity Incentive Plan; and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5,000,000 Class A Ordinary Shares issuable upon the exercise of outstanding warrants.</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002"/>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investment in our securities involves a high degree of risk. You should consider carefully the risks described below as well as the risks described in the section captioned “Risk Factors” in our annual report on Form 20-F for the year ended March 31, 2026 and as updated by any document that we subsequently file with the SEC that is incorporated by reference in this prospectus supplement or the accompanying prospectus, together with other information in this prospectus supplement, the accompanying prospectus and the information and documents incorporated by reference in this prospectus supplement and the accompanying prospectus before you make a decision to invest in our securities. If any of such risks actually occur, our business, operating results, prospects or financial condition could be materially and adversely affected. This could cause the trading price of our Class A Ordinary Shares to decline and you may lose all or part of your investment. The risks described below are not the only ones that we face. Additional risks not presently known to us or that we currently deem immaterial may also affect our business operations. The risks discussed below also include forward-looking statements and our actual results may differ substantially from those discussed in these forward-looking statements. See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received a subpoena from the SEC regarding trading in the securities of the Company, the consequences of which are unknown.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received a subpoena from the SEC Division of Enforcement in the investigation captioned as “Trading in the Securities of Solowin Holdings”. The subpoena was issued as part of an investigation as to whether we and/or certain of our officers, directors, employees, partners, subsidiaries and/or affiliates, and/or other persons or entities, directly or indirectly, violated certain provisions of the Exchange Act, in connection with the purchase and sale of our securities. This investigation is a non-public, fact-finding inquiry. The SEC has informed the Company that this inquiry should not be construed as an indication that any violations of law have occurred or that the SEC has any negative opinion of any person, entity or security. As of the date of this prospectus supplement, the Company is cooperating with the SEC in connection with the subpoena and is in the process of producing the requested documents and information. The SEC may in the future require us to produce additional documents or information, or seek testimony from members of our management team or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when the SEC’s investigation will be concluded, what action, if any, might be taken in the future by the SEC or its staff as a result of the matters that are the subject to its investigation, or what impact, if any, the cost of continuing to respond to subpoenas might have on our financial position, results of operations, or cash flows. We have not established any provision for losses in respect of this matter. In addition, complying with any such future requests by the SEC for documents or testimony distracts the time and attention of our officers and directors and diverts our resources away from ongoing business matters. This investigation has resulted in legal expenses, the diversion of management’s attention from our business, and could damage our business and reputation. Finally, results of the investigation could subject us to a wide range of remedies, including an enforcement action by the SEC. There can be no assurance that any final resolution of this and any similar matters will not have a material adverse effect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our existing securities purchase agreements may expose us to potential contractual claims and adversely affect our ability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that certain Securities Purchase Agreement (the “February 2026 SPAs”) with an institutional investor, under which the investor made multiple Pre-Paid Purchase #1 dated February 9, 2026 (“PPP #1”); Pre-Paid Purchase #2 dated June 2, 2026 and Pre-Paid Purchase #3 dated September 21, 2026 (“PPP #3”). On September 10, 2026, the Company entered into September 2026 SPAs with another two institutional investors, respectively. Pursuant to which each investor negotiates for customized restrictive covenants, representations and warranties, notice requirements, default triggers, acceleration rights, mandatory prepayment obligations, default premium, penalty interest, liquidated damages and other remedy provisions to protect their investment positions. These separately negotiated obligations may conflict with one another as we pursue additional capital raising or other corporate transactions. A transaction permissible under one investor’s agreement may require prior consent from, or trigger a default, notice obligation, acceleration of obligations, mandatory prepayment, or remedy right under agreements with our other investors. Waivers and consents, if obtainable, are ordinarily limited solely to the particular transaction for which relief is requested. The grant of any waiver does not operate to waive, amend or prevent the occurrence of other potential breaches under our remaining investor agreements. There can be no assurance that we will be able to obtain required consents on acceptable terms, or at all. If investors assert covenant breaches or defaults, they may pursue available remedies including damages, acceleration of obligations, mandatory prepayment, default premiums, termination of funding commitments or litigation, which could materially limit our ability to access capital markets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investors will not assert claims in connection with such transaction or that any such claims, if asserted, would be resolved on terms favorable to us. Based on currently available information, we do not expect that any potential breach of these restrictive covenants, in and of itself, would have a material adverse effect on our financial condition. However, there can be no assurance that the investors will not assert claims or seek remedies in connection with such potential breach, or that any resulting disputes or liabilities would not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proceeds from this offering, and there is no guarantee that we will use the proceeds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in the application of the net proceeds of this offering. You will not have the opportunity, as part of your investment decision, to assess whether the proceeds are being used in a manner that aligns with your preferences. You must rely on our judgment regarding the allocation of the net proceeds. These funds may be used for corporate purposes that do not improve our profitability or increase the value of our Class A Ordinary Shares. Additionally, the net proceeds may be invested in ways that do not generate income or that result in a loss of value. If we fail to use these funds effectively, it could have a material adverse effect on our business, financial condition, operating results,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large number of shares may be sold in the market following this offering, which may depress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sold in the offering will be freely tradable without restriction or further registration under the Securities Act. As a result, a substantial number of our Class A Ordinary Shares may be sold in the public market following this offering. If there are significantly more Class A Ordinary Shares offered for sale than buyers are willing to purchase, then the market price of our Class A Ordinary Shares may decline to a market price at which buyers are willing to purchase the offered Class A Ordinary Shares and sellers remain willing to sell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Class A Ordinary Shares will be sold in “at-the-market” offerings, 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sales notice to the Sales Agent at any time throughout the term of the Sales Agreement. The number of shares that are sold by the Sales Agent after delivering a sales notice will fluctuate based on the market price of our Class A Ordinary Shares during the sales period and limits we set with the Sales Agent. Because the price per share of each share sold in this offering will fluctuate based on the market price of our Class A Ordinary Shares during the sales period, it is not possible at this stage to predict the number of shares that will be ultimately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Class A Ordinary Shares or other securities convertible into or exchangeable for our Class A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Class A Ordinary Shares, or securities convertible or exchangeable into Class A Ordinary Shares, in future transactions may be higher or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and may continue to issue, convertible securities, options, and warrants to officers, directors, consultants, and certain stockholders. Additionally, we have issued convertible notes to certain institutional investors in private offerings. The exercise, conversion, or exchange of these instruments, including for other securities, will dilute existing stockholders’ ownership percentages. This dilution may negatively impact our ability to obtain additional capital. Holders of these securities may choose to exercise or convert them at times when we could otherwise secure equity capital on more favorable terms or when our Class A Ordinary Shares is trading above the exercise or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Class A Ordinary Shares in the public market could cause our stock price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Class A Ordinary Shares (including in this offering), or securities convertible or exchangeable into our Class A Ordinary Shares, into the public market, including our Class A Ordinary Shares issued upon exercise of options and warrants, or the perception that those sales could occur, could adversely affect the prevailing market price of our Class A Ordinary Shares and our ability to raise capital in the future. Additionally, the market price of our Class A Ordinary Shares could decline as a result of sales by, or the perceived possibility of sales by, our existing stockholders of our Class A Ordinary Shares in the market after this offering. These sales might also make it more difficult for us to sell equity securities at a time and price that we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continue to satisfy the continued listing requirements and other rules of the Nasdaq Capital Market, our securities may be delisted, which could negatively impact the price of our securities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listing on the Nasdaq Capital Market, we will be required to comply with certain continued listing rules of the Nasdaq Capital Market, including those regarding minimum stockholders’ equity, minimum bid price, minimum market value of publicly held shares, and various additional requirements. In particular, Nasdaq Listing Rule 5550(a)(2) requires us to maintain a minimum bid price of $1.00 per share. If the closing bid price of our Class A Ordinary Shares remains below $1.00 per share for 30 consecutive business days, Nasdaq may issue a deficiency notice and, if we are unable to regain compliance within the applicable cure period, may initiate delisting proceedings. Furthermore, if the closing bid price of our Class A Ordinary Shares is $0.10 or less for ten consecutive business days, Nasdaq will issue a Staff Delisting Determination with respect to our Class A Ordinary Shares, our Class A Ordinary Shares will be suspended from trading on Nasdaq, and we will not be eligible for any otherwise applicable compliance period under Nasdaq Listing Rule 5810(c)(3)(A).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a substantial number of Class A Ordinary Shares will be sold in this offering, this offering could place additional downward pressure on the trading price of our Class A Ordinary Shares, potentially causing or prolonging a situation where our bid price remains below the minimum bid price requirement of $1.00 per share for more than 30 consecutive trading days, or falls to $0.10 or less and remains at or below such level for ten consecutive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satisfy the minimum bid price requirement or any other applicable continued listing requirement and are unable to regain compliance within any applicable compliance period, or if we become subject to circumstances in which no compliance period is available under the Nasdaq listing rules, our Class A Ordinary Shares could be suspended from trading and delisted from Nasdaq. The delisting of our Class A Shares from Nasdaq could negatively impact us by, among other things, reducing the liquidity and market price of our Class A Shares, reducing the number of investors willing to hold or acquire our Class A Shares, limiting our ability to issue additional securities or obtain additional financing in the future, and decreasing analysts’ coverage of our Company. If our Class A Shares are delisted and we are unable to obtain listing on another national securities exchange, our Class A Shares could be quoted on an over-the-counter market. If this were to occur, we could face significant adverse consequences, including limited availability of market quotations for our Class A Shares, a determination that our Class A Shares are “penny stock” (which would require brokers trading in our Class A Shares to adhere to more stringent rules), and reduced interest from investors and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s_003"/>
      <w:bookmarkEnd w:id="4"/>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“forward-looking statements” that involve substantial risks and uncertainties. All statements other than statements of historical facts contained in this prospectus supplement, including statements regarding our future results of operations and financial position, strategy and plans, and our expectations for future operations, are forward-looking statements under Section 27A of the Securities Act and Section 21E of the Securities Exchange Act of 1934, as amended (the “Exchange Act”). We have attempted to identify forward-looking statements using terminology such as “anticipates,” “believes,” “can,” “continue,” “could,” “estimates,” “expects,” “intends,” “may,” “plans,” “potential,” “predicts,” “should,” “will,” or the negative of these terms or other comparable terminology. Our actual results may differ materially, or perhaps significantly, from those discussed herein or implied by, these forward-looking statements. Forward-looking statements included or incorporated by reference in this prospectus supplement or our other filings with the SEC include, but are not necessarily limited to, those relating to:</w:t>
      </w:r>
    </w:p>
    <w:p>
      <w:pPr>
        <w:pStyle w:val="TextBody"/>
        <w:bidi w:val="0"/>
        <w:spacing w:before="0" w:after="0"/>
        <w:ind w:left="0" w:right="0" w:hanging="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17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strategies;</w:t>
            </w:r>
          </w:p>
        </w:tc>
      </w:tr>
    </w:tbl>
    <w:p>
      <w:pPr>
        <w:pStyle w:val="TextBody"/>
        <w:bidi w:val="0"/>
        <w:spacing w:before="0" w:after="0"/>
        <w:ind w:left="720" w:right="0" w:hanging="36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revenue, costs or expenditure;</w:t>
            </w:r>
          </w:p>
        </w:tc>
      </w:tr>
    </w:tbl>
    <w:p>
      <w:pPr>
        <w:pStyle w:val="TextBody"/>
        <w:bidi w:val="0"/>
        <w:spacing w:before="0" w:after="0"/>
        <w:ind w:left="720" w:right="0" w:hanging="360"/>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products and services;</w:t>
            </w:r>
          </w:p>
        </w:tc>
      </w:tr>
    </w:tbl>
    <w:p>
      <w:pPr>
        <w:pStyle w:val="TextBody"/>
        <w:bidi w:val="0"/>
        <w:spacing w:before="0" w:after="0"/>
        <w:ind w:left="720" w:right="0" w:hanging="36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our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 policies and regulations relating to our industry;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factors referred to the “</w:t>
            </w:r>
            <w:r>
              <w:rPr>
                <w:rFonts w:ascii="Times New Roman;Times;Serif" w:hAnsi="Times New Roman;Times;Serif"/>
                <w:i/>
                <w:sz w:val="20"/>
              </w:rPr>
              <w:t>Risk Factors</w:t>
            </w:r>
            <w:r>
              <w:rPr>
                <w:rFonts w:ascii="Times New Roman;Times;Serif" w:hAnsi="Times New Roman;Times;Serif"/>
                <w:sz w:val="20"/>
              </w:rPr>
              <w:t>” section.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with which we are faced that may cause our actual results to differ from those anticipated in our forward-looking statements. Please see the risk factors disclosed in our reports filed or furnished with the SEC or those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and the accompanying prospectus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supplement and the accompanying prospectus are based on information available to us on the date of this prospectus supplement or the accompanying prospectus, as applicable. Except to the extent required by applicable laws or rules, we undertake no obligation to publicly update or revise any forward-looking statement, whether as a result of new information, future events or otherwise.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004"/>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our Class A Ordinary Shares having aggregate sales proceeds of up to $50,000,000 from time to time. Because there is no minimum offering amount required as a condition of this offering, the actual total public offering amount, commissions and proceeds to us, if any, are not determinable at this time. There can be no assurance that we will sell any shares under or fully utilize the Sales Agreement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we sell the maximum amount of Class A Ordinary Shares registered in this prospectus supplement, we intend to allocate the net proceeds from this offering to fund our business operations and strategic initiatives,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Approximately $1 million  for the repayment of the outstanding principal and the interests of certain notes issued by the Company on September 10, 2026;</w:t>
            </w:r>
          </w:p>
        </w:tc>
      </w:tr>
    </w:tbl>
    <w:p>
      <w:pPr>
        <w:pStyle w:val="TextBody"/>
        <w:bidi w:val="0"/>
        <w:spacing w:before="0" w:after="283"/>
        <w:jc w:val="left"/>
        <w:rPr/>
      </w:pPr>
      <w:r>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$14 million for working capital and other general corporate purposes;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$10 million for our stablecoin-related initiatives, including issuance activities, compliance infrastructure and ecosystem development;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$10 million for the development of payment-related technology infrastructure and related audit and compliance expenses; and</w:t>
            </w:r>
          </w:p>
        </w:tc>
      </w:tr>
    </w:tbl>
    <w:p>
      <w:pPr>
        <w:pStyle w:val="TextBody"/>
        <w:bidi w:val="0"/>
        <w:spacing w:before="0" w:after="283"/>
        <w:jc w:val="left"/>
        <w:rPr/>
      </w:pPr>
      <w:r>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$15 million for potential strategic acquisitions, and personnel and marketing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actual proceeds from this offering are substantially less than $50 million, we currently intend to prioritize the use of the available net proceeds for (i) repayment of the outstanding principal and the interests of certain notes issued by the Company on September 10, 2026, (ii) working capital and other general corporate purposes, (iii) our stablecoin-related initiatives, and (iv) the development of our payment-related infrastructure, in that order. Any remaining net proceeds are expected to be used for potential strategic acquisitions and personnel and marketing expenses, with the amounts allocated among such uses to be determined by management based on our business needs and circumstances at the relevant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 In addition, while we have not entered into any agreements, commitments or understandings relating to any significant transaction as of the date of this prospectus supplement, we may use a portion of the net proceeds to pursue acquisitions, joint ventures and other strategic transactions. Depending on future events and others changes in the business climate, we may determine at a later time to use the net proceeds for different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 as of March 31,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an actual basis;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 pro forma basis to reflect the (i) the closing of the pre-paid purchases #2 made pursuant to a certain purchase agreement with Streeterville Capital, LLC on June 2, 2026 (“Streeterville SPA”) for net proceeds of $$6,000,000, with the issuance of an aggregate of 2,500,000 Class A Ordinary Shares as pre-delivery shares under the Streeterville SPA, (iii) the issuance of 198,560 Class A Ordinary Shares under a certain pre-paid purchase #1 made pursuant to the Streeterville SPA, (iv) the issuance of an aggregate of 1,650,000 Class A Ordinary Shares to certain consultants for services rendered, (v) the issuance of an aggregate of 1,100,000 Class A Ordinary Shares to certain investors under a securities purchase agreement, dated September 10, 2026, for net proceeds of $750,000, (vi) the issuance of 5,250,000 Class A Ordinary Shares for a purchase price of $2,000,000 under a side letter with Streeterville Capital, LLC, dated September 21, 2026 and (vii) the issuance of 588,235 Class A Ordinary Shares for net proceeds of $100,000 under a certain pre-paid purchase #1 and the issuance of 6,253,519 Class A Ordinary Shares for net proceeds of $ 1,063,000 under a certain pre-paid purchase #2 and the issuance of 6,406,919 Class A Ordinary Shares for net proceeds of $800,000  under a certain pre-paid purchase #1 made pursuant to the Streeterville SPA our pro forma as adjusted net tangible book value as of March 31, 2026 would have been approximately $26.08 million, or approximately $0.1225 per Class A Ordinary Share;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rPr>
              <w:t>on a pro forma, as adjusted basis to give effect to (i) the issuance and sale of 588,235,294 Class A Ordinary Shares pursuant to this prospectus supplement and the accompanying base prospectus in the aggregate amount of approximately $50.0 million at an assumed price of $</w:t>
            </w:r>
            <w:r>
              <w:rPr/>
              <w:t>0.0850 per share, which was the last reported sale price of our Class A Ordinary Shares on Nasdaq on October 21, 2026, and after deducting potential commissions and estimated offering expenses payable by us and (ii) the Share Consolidation.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6"/>
        <w:gridCol w:w="60"/>
        <w:gridCol w:w="140"/>
        <w:gridCol w:w="755"/>
        <w:gridCol w:w="95"/>
        <w:gridCol w:w="60"/>
        <w:gridCol w:w="66"/>
        <w:gridCol w:w="835"/>
        <w:gridCol w:w="95"/>
        <w:gridCol w:w="60"/>
        <w:gridCol w:w="61"/>
        <w:gridCol w:w="825"/>
        <w:gridCol w:w="87"/>
      </w:tblGrid>
      <w:tr>
        <w:trPr/>
        <w:tc>
          <w:tcPr>
            <w:tcW w:w="70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March 31, 2026</w:t>
            </w:r>
          </w:p>
        </w:tc>
        <w:tc>
          <w:tcPr>
            <w:tcW w:w="87"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Pro </w:t>
              <w:br/>
              <w:t>Forma</w:t>
              <w:br/>
              <w:t>As</w:t>
              <w:br/>
              <w:t>Adjusted</w:t>
            </w:r>
            <w:r>
              <w:rPr>
                <w:b/>
                <w:position w:val="7"/>
                <w:sz w:val="16"/>
                <w:sz w:val="20"/>
              </w:rPr>
              <w:t>(1)</w:t>
            </w:r>
          </w:p>
        </w:tc>
        <w:tc>
          <w:tcPr>
            <w:tcW w:w="87"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2" w:type="dxa"/>
            <w:gridSpan w:val="10"/>
            <w:tcBorders/>
            <w:vAlign w:val="center"/>
          </w:tcPr>
          <w:p>
            <w:pPr>
              <w:pStyle w:val="TableContents"/>
              <w:bidi w:val="0"/>
              <w:spacing w:before="0" w:after="283"/>
              <w:jc w:val="center"/>
              <w:rPr>
                <w:b/>
              </w:rPr>
            </w:pPr>
            <w:r>
              <w:rPr>
                <w:b/>
              </w:rPr>
              <w:t xml:space="preserve">(in thousands, </w:t>
              <w:br/>
              <w:t>except for share amounts)</w:t>
            </w:r>
          </w:p>
        </w:tc>
        <w:tc>
          <w:tcPr>
            <w:tcW w:w="87" w:type="dxa"/>
            <w:tcBorders/>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16,804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double" w:sz="10" w:space="0" w:color="000000"/>
            </w:tcBorders>
            <w:shd w:fill="CCEEFF" w:val="clear"/>
            <w:tcMar>
              <w:bottom w:w="28" w:type="dxa"/>
            </w:tcMar>
            <w:vAlign w:val="center"/>
          </w:tcPr>
          <w:p>
            <w:pPr>
              <w:pStyle w:val="TableContents"/>
              <w:bidi w:val="0"/>
              <w:spacing w:before="0" w:after="283"/>
              <w:jc w:val="right"/>
              <w:rPr/>
            </w:pPr>
            <w:r>
              <w:rPr/>
              <w:t>25,555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shd w:fill="CCEEFF" w:val="clear"/>
            <w:tcMar>
              <w:bottom w:w="28" w:type="dxa"/>
            </w:tcMar>
            <w:vAlign w:val="center"/>
          </w:tcPr>
          <w:p>
            <w:pPr>
              <w:pStyle w:val="TableContents"/>
              <w:bidi w:val="0"/>
              <w:spacing w:before="0" w:after="283"/>
              <w:jc w:val="right"/>
              <w:rPr/>
            </w:pPr>
            <w:r>
              <w:rPr/>
              <w:t>73,555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66"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12,359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12,359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pPr>
            <w:r>
              <w:rPr/>
              <w:t>Amount due to directors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198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66" w:type="dxa"/>
            <w:tcBorders/>
            <w:shd w:fill="FFFFFF" w:val="clear"/>
            <w:vAlign w:val="center"/>
          </w:tcPr>
          <w:p>
            <w:pPr>
              <w:pStyle w:val="TableContents"/>
              <w:bidi w:val="0"/>
              <w:spacing w:before="0" w:after="283"/>
              <w:jc w:val="left"/>
              <w:rPr/>
            </w:pPr>
            <w:r>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FFFFFF" w:val="clear"/>
            <w:tcMar>
              <w:bottom w:w="28" w:type="dxa"/>
            </w:tcMar>
            <w:vAlign w:val="center"/>
          </w:tcPr>
          <w:p>
            <w:pPr>
              <w:pStyle w:val="TableContents"/>
              <w:bidi w:val="0"/>
              <w:spacing w:before="0" w:after="283"/>
              <w:jc w:val="right"/>
              <w:rPr/>
            </w:pPr>
            <w:r>
              <w:rPr/>
              <w:t>2,022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2,022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pPr>
            <w:r>
              <w:rPr/>
              <w:t>Total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14,579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14,579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66"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66" w:type="dxa"/>
            <w:tcBorders/>
            <w:shd w:fill="FFFFFF" w:val="clear"/>
            <w:vAlign w:val="center"/>
          </w:tcPr>
          <w:p>
            <w:pPr>
              <w:pStyle w:val="TableContents"/>
              <w:bidi w:val="0"/>
              <w:spacing w:before="0" w:after="283"/>
              <w:jc w:val="left"/>
              <w:rPr>
                <w:sz w:val="20"/>
              </w:rPr>
            </w:pPr>
            <w:r>
              <w:rPr>
                <w:sz w:val="20"/>
              </w:rPr>
              <w:t>Class A Ordinary Shares, par value $0.0001 per share; 950,000,000 shares authorized; 157,582,228 shares issued and outstanding, as of March 31, 2026; 181,529,461 shares issued and outstanding, pro forma; 769,764,755 shares issued and outstanding, pro forma as adjusted</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77</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sz w:val="20"/>
              </w:rPr>
            </w:pPr>
            <w:r>
              <w:rPr>
                <w:sz w:val="20"/>
              </w:rPr>
              <w:t>Class B Ordinary Shares, par value of $0.0001 per share; 50,000,000 shares authorized; 31,371,599 shares issued and outstanding as of March 31, 2026; 31,371,599 shares issued and outstanding, pro forma; 31,371,599 shares issued and outstanding, pro forma as adjusted</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06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60,588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108,528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(27,696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(33,832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(33,832</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066"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pPr>
            <w:r>
              <w:rPr/>
              <w:t>21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(63</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066"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25,111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FFFFFF" w:val="clear"/>
            <w:tcMar>
              <w:bottom w:w="28" w:type="dxa"/>
            </w:tcMar>
            <w:vAlign w:val="center"/>
          </w:tcPr>
          <w:p>
            <w:pPr>
              <w:pStyle w:val="TableContents"/>
              <w:bidi w:val="0"/>
              <w:spacing w:before="0" w:after="283"/>
              <w:jc w:val="right"/>
              <w:rPr/>
            </w:pPr>
            <w:r>
              <w:rPr/>
              <w:t>26,735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FFFFFF" w:val="clear"/>
            <w:tcMar>
              <w:bottom w:w="28" w:type="dxa"/>
            </w:tcMar>
            <w:vAlign w:val="center"/>
          </w:tcPr>
          <w:p>
            <w:pPr>
              <w:pStyle w:val="TableContents"/>
              <w:bidi w:val="0"/>
              <w:spacing w:before="0" w:after="283"/>
              <w:jc w:val="right"/>
              <w:rPr/>
            </w:pPr>
            <w:r>
              <w:rPr/>
              <w:t>74,735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066" w:type="dxa"/>
            <w:tcBorders/>
            <w:shd w:fill="CCEEFF" w:val="clear"/>
            <w:vAlign w:val="center"/>
          </w:tcPr>
          <w:p>
            <w:pPr>
              <w:pStyle w:val="TableContents"/>
              <w:bidi w:val="0"/>
              <w:spacing w:before="0" w:after="283"/>
              <w:jc w:val="left"/>
              <w:rPr/>
            </w:pPr>
            <w:r>
              <w:rPr/>
              <w:t>Total capitalization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32,563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double" w:sz="10" w:space="0" w:color="000000"/>
            </w:tcBorders>
            <w:shd w:fill="CCEEFF" w:val="clear"/>
            <w:tcMar>
              <w:bottom w:w="28" w:type="dxa"/>
            </w:tcMar>
            <w:vAlign w:val="center"/>
          </w:tcPr>
          <w:p>
            <w:pPr>
              <w:pStyle w:val="TableContents"/>
              <w:bidi w:val="0"/>
              <w:spacing w:before="0" w:after="283"/>
              <w:jc w:val="right"/>
              <w:rPr/>
            </w:pPr>
            <w:r>
              <w:rPr/>
              <w:t>41,314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double" w:sz="10" w:space="0" w:color="000000"/>
            </w:tcBorders>
            <w:shd w:fill="CCEEFF" w:val="clear"/>
            <w:tcMar>
              <w:bottom w:w="28" w:type="dxa"/>
            </w:tcMar>
            <w:vAlign w:val="center"/>
          </w:tcPr>
          <w:p>
            <w:pPr>
              <w:pStyle w:val="TableContents"/>
              <w:bidi w:val="0"/>
              <w:spacing w:before="0" w:after="283"/>
              <w:jc w:val="right"/>
              <w:rPr/>
            </w:pPr>
            <w:r>
              <w:rPr/>
              <w:t>89,314</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information discussed above is illustrative only. Our additional paid-in capital, accumulative deficit, accumulative other comprehensive loss, total shareholder’s equity and total capitalization following the completion of this offering are subject to adjustment based on the actual public offering price and the actual number of Class A Ordinary Shares sold in this offering.</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260"/>
        <w:gridCol w:w="33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table and discussion above exclude: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41,100 Class A Ordinary Shares reserved under our Amended and Restated 2023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578,900 Class A Ordinary Shares issuable upon the exercise of outstanding options granted under our Amended and Restated 2023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 Class A Ordinary Shares issuable upon the exercise of outstanding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dilution information presented below is for illustrative purposes only and is based on the assumptions set forth herein. Because our Class A Ordinary Shares may be sold from time to time in this offering at varying prices, and there is no minimum offering amount, the actual number of shares sold, aggregate net proceeds and resulting dilution, if any, may differ materially from the amounts illustrated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Class A Ordinary Shares in this offering, your ownership will be diluted immediately to the extent of the difference between the public offering price per share and the as adjusted net tangible book value per Class A Ordinary Share immediately after this offering. Dilution in net tangible book value per share represents the difference between the amount per share paid by purchasers of Class A Ordinary Shares in this offering and the as adjusted net tangible book value per Class A Ordinary Share immediately after this offering. Net tangible book value per share is determined at any date by subtracting our total liabilities from the total book value of our tangible assets and dividing the difference by the number of Class A Ordinary Shares deemed to be outstanding at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net tangible book value was approximately $24.46 million, or approximately $0.1294 per Share. After giving effect to (i) the closing of the pre-paid purchases #2 made pursuant to a certain purchase agreement with Streeterville Capital, LLC on June 2, 2026 (“Streeterville SPA”) for net proceeds of $$6,000,000, with the issuance of an aggregate of 2,500,000 Class A Ordinary Shares as pre-delivery shares under the Streeterville SPA, (iii) the issuance of 198,560 Class A Ordinary Shares under a certain pre-paid purchase #1 made pursuant to the Streeterville SPA, (iv) the issuance of an aggregate of 1,650,000 Class A Ordinary Shares to certain consultants for services rendered, (v) the issuance of an aggregate of 1,100,000 Class A Ordinary Shares to certain investors under a securities purchase agreement, dated September 10, 2026, for net proceeds of $750,000, (vi) the issuance of 5,250,000 Class A Ordinary Shares for a purchase price of $2,000,000 under a side letter with Streeterville Capital, LLC, dated September 21, 2026 and (vii) the issuance of 588,235 Class A Ordinary Shares for net proceeds of $100,000 under a certain pre-paid purchase #1 and the issuance of 6,253,519 Class A Ordinary Shares for net proceeds of $ 1,063,000 under a certain pre-paid purchase #2 and the issuance of 6,406,919 Class A Ordinary Shares for net proceeds of $ 800,000 under a certain pre-paid purchase #1 made pursuant to the Streeterville SPA our pro forma as adjusted net tangible book value as of March 31, 2026 would have been approximately $26.08 million, or approximately $0.1225 per Class A Ordinary Share;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(i) the sale of 588,235,294 Class A Ordinary Shares pursuant to this prospectus supplement and the accompanying base prospectus in the aggregate amount of approximately $50.0 million at an assumed price of $0.0850 per share, which was the last reported sale price of our Class A Ordinary Shares on Nasdaq on October 21, 2026, and after deducting potential commissions and estimated offering expenses payable by us, and (ii) the Share Consolidation, our pro forma adjusted net tangible book value as of March 31, 2026 would have been approximately $74.08 million, or $0.0925 per Class A Ordinary Share.  This amount represents an immediate decrease in net tangible book value of $0.0300 per Class A Ordinary Share to existing shareholders and an immediate dilution in net tangible book value of $0.0075 per Class A Ordinary Share to purchasers of our Class A Ordinary Shares in this offering, as illustrated in the following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shd w:fill="CCEEFF" w:val="clear"/>
            <w:vAlign w:val="center"/>
          </w:tcPr>
          <w:p>
            <w:pPr>
              <w:pStyle w:val="TableContents"/>
              <w:bidi w:val="0"/>
              <w:spacing w:before="0" w:after="283"/>
              <w:ind w:left="0" w:right="0" w:hanging="180"/>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0.0850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90" w:type="dxa"/>
            <w:tcBorders/>
            <w:shd w:fill="FFFFFF" w:val="clear"/>
            <w:vAlign w:val="center"/>
          </w:tcPr>
          <w:p>
            <w:pPr>
              <w:pStyle w:val="TableContents"/>
              <w:bidi w:val="0"/>
              <w:spacing w:before="0" w:after="283"/>
              <w:jc w:val="left"/>
              <w:rPr/>
            </w:pPr>
            <w:r>
              <w:rPr/>
              <w:t>Historical net tangible book value per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0.1294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90" w:type="dxa"/>
            <w:tcBorders/>
            <w:shd w:fill="CCEEFF" w:val="clear"/>
            <w:vAlign w:val="center"/>
          </w:tcPr>
          <w:p>
            <w:pPr>
              <w:pStyle w:val="TableContents"/>
              <w:bidi w:val="0"/>
              <w:spacing w:before="0" w:after="283"/>
              <w:jc w:val="left"/>
              <w:rPr/>
            </w:pPr>
            <w:r>
              <w:rPr/>
              <w:t>Decrease per share attributable to the pro forma adjustments described above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(0.0069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90" w:type="dxa"/>
            <w:tcBorders/>
            <w:shd w:fill="FFFFFF" w:val="clear"/>
            <w:vAlign w:val="center"/>
          </w:tcPr>
          <w:p>
            <w:pPr>
              <w:pStyle w:val="TableContents"/>
              <w:bidi w:val="0"/>
              <w:spacing w:before="0" w:after="283"/>
              <w:jc w:val="left"/>
              <w:rPr/>
            </w:pPr>
            <w:r>
              <w:rPr/>
              <w:t>Pro forma net tangible book value per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0.1225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90" w:type="dxa"/>
            <w:tcBorders/>
            <w:shd w:fill="CCEEFF" w:val="clear"/>
            <w:vAlign w:val="center"/>
          </w:tcPr>
          <w:p>
            <w:pPr>
              <w:pStyle w:val="TableContents"/>
              <w:bidi w:val="0"/>
              <w:spacing w:before="0" w:after="283"/>
              <w:jc w:val="left"/>
              <w:rPr/>
            </w:pPr>
            <w:r>
              <w:rPr/>
              <w:t>Decrease in pro forma as adjusted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(0.0300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90" w:type="dxa"/>
            <w:tcBorders/>
            <w:shd w:fill="FFFFFF" w:val="clear"/>
            <w:vAlign w:val="center"/>
          </w:tcPr>
          <w:p>
            <w:pPr>
              <w:pStyle w:val="TableContents"/>
              <w:bidi w:val="0"/>
              <w:spacing w:before="0" w:after="283"/>
              <w:jc w:val="left"/>
              <w:rPr/>
            </w:pPr>
            <w:r>
              <w:rPr/>
              <w:t>Pro forma 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0.0925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90" w:type="dxa"/>
            <w:tcBorders/>
            <w:shd w:fill="CCEEFF" w:val="clear"/>
            <w:vAlign w:val="center"/>
          </w:tcPr>
          <w:p>
            <w:pPr>
              <w:pStyle w:val="TableContents"/>
              <w:bidi w:val="0"/>
              <w:spacing w:before="0" w:after="283"/>
              <w:jc w:val="left"/>
              <w:rPr/>
            </w:pPr>
            <w:r>
              <w:rPr/>
              <w:t>Dilution per share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(0.0075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discussion above exclude: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41,100 Class A Ordinary Shares reserved under our Amended and Restated 2023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578,900 Class A Ordinary Shares issuable upon the exercise of outstanding options granted under our Amended and Restated 2023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 Class A Ordinary Shares issuable upon the exercise of outstanding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s_005"/>
      <w:bookmarkEnd w:id="6"/>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the Sales Agent under which we may offer and sell our Class A Ordinary Shares from time to time through the Sales Agent as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of a placement notice and subject to the terms and conditions of the Sales Agreement, the Sales Agent may sell our Class A Ordinary Shares by any method permitted by law deemed to be an “at the market offering” as defined in Rule 415(a)(4) promulgated under the Securities Act, including sales made directly on or through Nasdaq, the existing trading market for our Class A Ordinary Shares, sales made to or through a market maker other than on an exchange or otherwise, in negotiated transactions (including block transactions) at market prices prevailing at the time of sale, at prices related to such prevailing market prices, and/or in any other method permitted by law. We may instruct the Sales Agent not to sell Class A Ordinary Shares if the sales cannot be effected at or above the price designated by us from time to time. We or the Sales Agent may suspend the offering of Class A Ordinary Shares upon notice and subject to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 commissions, in cash, for its services in acting as agent in the sale of our Class A Ordinary Shares. The Sales Agent will be entitled to (i) a cash fee equal to 3.0% of the aggregate gross proceeds raised at such Closing and (ii) out of the proceeds of such Closing, a non-accountable expense allowance equal to 1.0% of the aggregate gross proceeds raised at such Closing for out-of-pocket expenses incurred by the Sales Agent from each sale of our Class A Ordinary Shares. Because there is no minimum offering amount required as a condition of this offering, the actual total public offering amount, commissions and proceeds to us, if any, are not determinable at this time. We have also agreed to reimburse the Sales Agent for the reasonable and documented fees and expenses of its legal counsel incurred in connection with the offering of our Class A Ordinary Shares pursuant to the Sales Agreement, up to a maximum of $50,000 in connection with the negotiation, execution and initial implementation of the Sales Agreement, plus up to $3,000 for each set of certificates, opinions, negative assurance letters, comfort letter bring-downs or other recurring deliverables required under the Sales Agreement. In addition, if, within twelve (12) months following the expiration or termination of the Sales Agreement, we sell any Class A Ordinary Shares in an at-the-market offering or other offering pursuant to any registration statement, prospectus or offering documentation established, maintained or serviced by the Sales Agent during the term of the Sales Agreement, or complete any subsequent at-the-market offering with any party introduced to us by the Sales Agent, or with which discussions were held by or on our behalf with the Sales Agent’s assistance during the term of the Sales Agreement, we have agreed to pay the Sales Agent, upon each settlement or closing of such transaction, a cash fee equal to 3.0% of the gross proceeds thereof, in each case subject to FINRA Rule 5110.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Class A Ordinary Shares will occur on the first business day following the date on which any sales are made, or on some other date that is agreed upon by us and the Sales Agent in connection with a particular transaction, in return for payment of the net proceeds to us. Sales of our Class A Ordinary Shares as contemplated in this prospectus supplement will be settled through the facilities of The Depository Trust Company or by such other means as we and the Sales Agent may agree upon. There is no arrangement for funds to be received in an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Sales Agreement, the Sales Agent will use its commercially reasonable efforts consistent with its normal trading and sales practices to sell on our behalf any shares to be offered by us under the Sales Agreement. In connection with the sale of the Class A Ordinary Shares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against certain civil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Class A Ordinary Shares pursuant to the Sales Agreement will terminate upon the earliest of (i) the sale of all of our Class A Ordinary Shares subject to the Sales Agreement, (ii) September 26, 2027, or (iii) the earlier termination of the Sales Agreement as permitted therein. We and the Sales Agent may each terminate the Sales Agreement at any time upon five days’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 and its affiliates have in the past and may in the future provide various investment banking and other financial services for us and our affiliates, for which services it may in the future receive customary fees. To the extent required by Regulation M, the Sales Agent will not engage in any market making activities involving our Class A Ordinary Shares while the offering is ongoing under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pursuant to this prospectus will be passed upon for us by Conyers Dill &amp; Pearman to the extent governed by the laws of the Cayman Islands, and by Hunter Taubman Fischer &amp; Li LLC to the extent governed by the laws of the State of New York and U.S. federal law. Sichenzia Ross Ference Carmel LLP, New York, New York, is acting as counsel to the Sales Agent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7"/>
      <w:bookmarkEnd w:id="8"/>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March 31, 2026 and for the year ended March 31, 2026 incorporated by reference in this prospectus supplement have been audited by AOGB CPA Limited, an independent registered public accounting firm, as stated in its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March 31, 2025 and 2024 and for the years ended March 31, 2025 and 2024 incorporated by reference in this prospectus supplement have been audited by WWC, P.C., an independent registered public accounting firm, as stated in its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financial statements are incorporated by reference in reliance upon the report of such firm given upon their authority as experts in accounting and auditing. The offices of AOGB CPA Limited and WWC, P.C. are located at Suite 2501-03, Tesbury Centre, 28 Queen’s Road East, Admiralty, Hong Kong and 2010 Pioneer Court, San Mateo, CA 94403,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8"/>
      <w:bookmarkEnd w:id="9"/>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F-3 that we filed with the SEC registering the securities that may be offered and sold hereunder. This prospectus supplement and the accompanying prospectus, which constitute a part of the registration statement, do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supplement or the accompanying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of the website is www.sec.gov. Additionally, we will make these filings available, free of charge, on our website at www.alloyx.com as soon as reasonably practicable after we electronically file such materials with, or furnish them to, the SEC. The information on our website, other than these filings, is not, and should not be, considered part of this prospectus supplement and is not incorporated by reference into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9"/>
      <w:bookmarkEnd w:id="10"/>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 this prospectus supplement, you should rely on the information contained in the document that was filed later. The documents we are incorporating by reference as of their respective dates of filing are:</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March 31, 2026 filed with the SEC on August 3,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Reports of Foreign Private Issuer on Form 6-K filed and/or furnished with the SEC on </w:t>
            </w:r>
            <w:hyperlink r:id="rId5">
              <w:r>
                <w:rPr>
                  <w:rStyle w:val="InternetLink"/>
                  <w:rFonts w:ascii="Times New Roman;Times;Serif" w:hAnsi="Times New Roman;Times;Serif"/>
                  <w:sz w:val="20"/>
                </w:rPr>
                <w:t>August 21, 2026</w:t>
              </w:r>
            </w:hyperlink>
            <w:r>
              <w:rPr>
                <w:rFonts w:ascii="Times New Roman;Times;Serif" w:hAnsi="Times New Roman;Times;Serif"/>
                <w:sz w:val="20"/>
              </w:rPr>
              <w:t xml:space="preserve">, </w:t>
            </w:r>
            <w:hyperlink r:id="rId6">
              <w:r>
                <w:rPr>
                  <w:rStyle w:val="InternetLink"/>
                  <w:rFonts w:ascii="Times New Roman;Times;Serif" w:hAnsi="Times New Roman;Times;Serif"/>
                  <w:sz w:val="20"/>
                </w:rPr>
                <w:t>September 21,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October 2,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October 19,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October 22, 2026</w:t>
              </w:r>
            </w:hyperlink>
            <w:r>
              <w:rPr>
                <w:rFonts w:ascii="Times New Roman;Times;Serif" w:hAnsi="Times New Roman;Times;Serif"/>
                <w:sz w:val="20"/>
              </w:rPr>
              <w:t>;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ordinary shares contained in </w:t>
            </w:r>
            <w:hyperlink r:id="rId10">
              <w:r>
                <w:rPr>
                  <w:rStyle w:val="InternetLink"/>
                  <w:rFonts w:ascii="Times New Roman;Times;Serif" w:hAnsi="Times New Roman;Times;Serif"/>
                  <w:b w:val="false"/>
                  <w:i w:val="false"/>
                  <w:caps w:val="false"/>
                  <w:smallCaps w:val="false"/>
                  <w:sz w:val="20"/>
                </w:rPr>
                <w:t>Exhibit 2.1</w:t>
              </w:r>
            </w:hyperlink>
            <w:r>
              <w:rPr>
                <w:rFonts w:ascii="Times New Roman;Times;Serif" w:hAnsi="Times New Roman;Times;Serif"/>
                <w:b w:val="false"/>
                <w:i w:val="false"/>
                <w:caps w:val="false"/>
                <w:smallCaps w:val="false"/>
                <w:sz w:val="20"/>
              </w:rPr>
              <w:t xml:space="preserve"> to our Annual Report on </w:t>
            </w:r>
            <w:hyperlink r:id="rId11">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March 31, 2026 filed with the SEC on August 3, 2026,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and all subsequent reports on Form 6-K submitted by us to the SEC that are identified by us as being incorporated by reference shall be deemed to be incorporated by reference into this prospectus supplement and deemed to be a part hereof after the date of this prospectus supplement but before the termination of the offering under this prospectus supplement. Unless expressly incorporated by reference, nothing in this prospectus supplement and the accompanying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supplement, including exhibits to these documents, will be provided at no cost to each person, including any beneficial owner, who receives a copy of this prospectus supplement on the written or oral request of that person made to: SOLOWIN HOLDINGS, Room 1910-1912A, Tower 3, China Hong Kong City, 33 Canton Road, Tsim Sha Tsui, Kowloon, Hong Kong, and telephone number +852 3428-3893.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00275" cy="63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2002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00175" cy="1047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400175" cy="1047750"/>
                    </a:xfrm>
                    <a:prstGeom prst="rect">
                      <a:avLst/>
                    </a:prstGeom>
                  </pic:spPr>
                </pic:pic>
              </a:graphicData>
            </a:graphic>
          </wp:inline>
        </w:drawing>
      </w: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2,960,000 Ordinary Shares Offered by the Selling Shareholder</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 a Cayman Islands exempted holding company (“Solowin”), is not an operating company, but a Cayman Islands holding company with operations primarily conducted by its wholly owned subsidiaries, Solomon JFZ (Asia) Holdings Limited (“Solomon JFZ”) and Solomon Private Wealth Limited (“Solomon Wealth” and together with Solomon JFZ, “HK Subsidiaries”), each a limited liability corporation incorporated in Hong Kong.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may offer, issue and sell from time to time Ordinary Shares, $0.0001 par value per share (“Ordinary Shares”), preferred shares, $0.0001 par value per share, debt securities, warrants, rights or units up to $200,000,000 or its equivalent in any other currency, currency units, or composite currency or currencies in one or more issuances. Solowin may sell any combination of these securities in one or more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prospectus relates to the resale, from time to time, of up to an aggregate of 2,960,000 Ordinary Shares by the selling shareholder named in this prospectus, including its donees, pledgees, transferees, assignees or other successors-in-interest. We will not receive any proceeds from sales of the Ordinary Shares offered by the selling shareholder although we will incur certain expenses in connection with such offering.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Solowin’s Ordinary Shares are listed on the Nasdaq Capital Market tier of The Nasdaq Stock Market LLC under the symbol “SWIN”. On October 24, 2024, the closing sale price of Solowin’s Ordinary Shares on the Nasdaq Capital Market was $2.76. As of October 24, 2024, the aggregate market value of outstanding Ordinary Shares held by non-affiliates was approximately $16.63 million based on 15,980,000 Ordinary Shares issued and outstanding, of which approximately 4,980,000 Ordinary Shares were held by non-affiliates, and the last sale price of Ordinary Shares as reported by the Nasdaq Capital Market of $3.34 per share on October 2, 2024, which was the highest closing price of Ordinary Shares reported on the NASDAQ Capital Market within the last 60 days prior to the date of this filing. Pursuant to General Instruction I.B.5 of Form F-3, in no event will Solowin sell securities in primary offerings pursuant to this registration statement with a value more than one-third of the aggregate market value of its Ordinary Shares held by non-affiliates in any 12-month period, so long as the aggregate market value of its Ordinary Shares held by non-affiliates is less than $75.0 million. However, the resale of up to an aggregate of 2,960,000 Ordinary Shares by the selling shareholder named in this prospectus is not subject to the above limitation. In addition, in the event that subsequent to the effective date of this registration statement, the aggregate market value of its outstanding Ordinary Shares held by non-affiliates equals or exceeds $75.0 million, then the one-third limitation on primary offerings shall not apply to additional sales made pursuant to this registration statement. We have not sold any Ordinary Share pursuant to General Instruction I.B.5 of Form F-3 during the prior 12 calendar month period that ends on, and includes, the date of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these securities and the general manner in which they may be offered. Solowin will provide the specific terms of the securities, and the manner in which they will be offered, in one or more supplements to this prospectus. Any supplement may also add, update or change information contained, or incorporated by reference, in this prospectus. You should read carefully both this prospectus and the applicable prospectus supplement, together with the additional information described under the headings “Where You Can Find More Information” and “Incorporation of Certain Information by Reference,” before you invest in our securities. The amount and price of the offered securities will be determined at the time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and sold in the same offering or in separate offerings, to or through underwriting syndicates managed or co-managed by one or more underwriters, through agents, or directly to purchasers. The names of any underwriters, dealers or agents involved in the sale of our securities, their compensation and any option to purchase additional securities held by them will be described in the applicable prospectus supplement. For general information about the distribution of securities offered, please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consider the risk factors beginning on page 12 of this prospectus, in any accompanying prospectus supplement and in any related free writing prospectus, and in the documents incorporated by reference into this prospectus, any accompanying prospectus supplement and any related free writing prospectus before making any decision to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incorporated in the Cayman Islands. Solowin has no material operations of its own, and as of the date of this prospectus, substantially all of our operations are conducted through the HK Subsidiaries. We do not have and have no intention to operate its business through a variable interest entities (“VIE”)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holding company structure involves unique risks to investors, and you may never directly hold equity interests in our operating subsidiaries. As of the date of this prospectus, HK Subsidiaries’ operations in Hong Kong and our offering of the Ordinary Shares in the United States are not subject to the review nor prior approval of the Cyberspace Administration of China (the “CAC”) or the China Securities Regulatory Commission (the “CSRC”). However, we face various legal and operational risks and uncertainties associated with being based in or having operations in Hong Kong, having clients who are PRC individuals or companies that have shareholders or directors that are PRC individuals and the complex and evolving PRC laws and regulations. The legal and operational risks associated with operations in China will apply to HK Subsidiaries’ operations in Hong Kong, should recent statements and regulatory actions by the Chinese government apply to issuers based in Hong Kong in the future. In that case, we will face risks associated with regulatory approvals on foreign investment in Hong Kong-based issuers, anti-monopoly regulatory actions, oversight on cybersecurity, data privacy and personal information. The PRC government may also intervene or impose restrictions on HK Subsidiaries’ ability to move cash out of Hong Kong to distribute earnings or pay dividends to Solowin or U.S. investors. Furthermore, PRC regulatory authorities may in the future promulgate laws, regulations or implementing rules that require us to obtain regulatory approval from PRC authorities before this or any future securities offering. These risks could result in a material adverse change in HK Subsidiaries’ business operations and the value of the Ordinary Shares, restrictions in HK Subsidiaries’ ability to accept foreign investments, significantly limit or completely hinder Solowin’s ability to continue to offer securities to investors or continued listing of the Ordinary Shares on the Nasdaq, or cause the value of such securities to significantly decline or become worthless. See “</w:t>
      </w:r>
      <w:r>
        <w:rPr>
          <w:rFonts w:ascii="Times New Roman;Times;Serif" w:hAnsi="Times New Roman;Times;Serif"/>
          <w:b w:val="false"/>
          <w:i/>
          <w:caps w:val="false"/>
          <w:smallCaps w:val="false"/>
          <w:sz w:val="20"/>
        </w:rPr>
        <w:t>Risk Factors — Risks Related to Doing Business in Jurisdictions We Operate</w:t>
      </w:r>
      <w:r>
        <w:rPr>
          <w:rFonts w:ascii="Times New Roman;Times;Serif" w:hAnsi="Times New Roman;Times;Serif"/>
          <w:b w:val="false"/>
          <w:i w:val="false"/>
          <w:caps w:val="false"/>
          <w:smallCaps w:val="false"/>
          <w:sz w:val="20"/>
        </w:rPr>
        <w:t>” of this prospectus for a discussion of these legal and operational risks that should be considered before making a decision to purchase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on February 17, 2023, the CSRC issued the Notice on Filing Arrangements for Overseas Securities Offering and Listing by Domestic Companies, stating that the CSRC has published the Trial Administrative Measures of Overseas Securities Offering and Listing by Domestic Companies and five supporting guidelines (collectively, the “New Overseas Listing Rules”). Among others, the New Overseas Listing Rules provide that PRC domestic companies seeking to offer and list securities (which, for the purposes of the New Overseas Listing Rules, are defined thereunder as equity shares, depository receipts, corporate bonds convertible to equity shares, and other equity securities that are offered and listed overseas, either directly or indirectly, by PRC domestic companies) in overseas markets, either via direct or indirect means, must file with the CSRC within three working days after their application for an overseas listing is submitted. The New Overseas Listing Rules came into effect on March 31, 2023. As of the date of this prospectus, we are not subject to the New Overseas Listing Rules because we do not own any PRC entity and we are not deemed a “domestic company” as defined under the New Overseas Listing Rules. However, given that the New Overseas Listing Rules were introduced recently, and that there remain substantial uncertainties surrounding the enforcement thereof, we cannot assure you that, if required, we would be able to complete the filings and/or fully comply with the relevant new rules on a timely basis,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more stringent standards have been imposed by the Securities and Exchange Commission (the “SEC”) and the Public Company Accounting Oversight Board (the “PCAOB”) recently, Solowin’s securities may be prohibited from trading if our auditor cannot be fully inspected by the PCAOB. Pursuant to the Holding Foreign Companies Accountable Act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June 22, 2021, the U.S. Senate passed the Accelerating Holding Foreign Companies Accountable Act (the “AHFCAA”), which, if enacted into law, would amend the HFCA Act and require the SEC to prohibit an issuer’s securities from trading on U.S. stock exchanges if its auditor is not subject to the PCAOB inspections for two consecutive “non-inspection” years instead of three and thus, reduces the time before Solowin’s securities may be prohibited from trading or delisted. In December 2022, an omnibus spending bill was passed by Congress and later signed into law, which included the enactment of provisions under the AHFCAA to accelerate the timeline for implementation of trading prohibitions under the HFCA Act from three consecutive years to two consecutive years. 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are headquartered in mainland China or Hong Kong. This list did not include our auditor, WWC, P.C., as our auditor is based in the U.S. and is registered with the PCAOB and subject to the PCAOB inspection. On August 26, 2022, the CSRC, the Ministry of Finance of the PRC (the “MOF”), and the PCAOB signed a Statement of Protocol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However, uncertainties still exist as to whether the PCAOB will have continued access for complete inspections and investigations in the future. The PCAOB has indicated that it will act immediately to consider the need to issue new determinations if needed. While our auditor is based in the U.S. and is subject to the PCAOB inspection, in the event the PCAOB later determines that it is unable to inspect or investigate completely our auditor, then such lack of inspection could cause Solowin’s securities to be delisted from the U.S. stock exchange. See “</w:t>
      </w:r>
      <w:r>
        <w:rPr>
          <w:rFonts w:ascii="Times New Roman;Times;Serif" w:hAnsi="Times New Roman;Times;Serif"/>
          <w:b w:val="false"/>
          <w:i/>
          <w:caps w:val="false"/>
          <w:smallCaps w:val="false"/>
          <w:sz w:val="20"/>
        </w:rPr>
        <w:t>Risk Factors — Risks Related to Doing Business in Jurisdictions We Operate — The Ordinary Shares may be prohibited from trading in the United States under the HFCA Act in the future if the PCAOB is unable to inspect or investigate completely auditors located in China or Hong Kong. The delisting of the Ordinary Shares, or the threat of their being delisted, may materially and adversely affect the value of your investment.</w:t>
      </w:r>
      <w:r>
        <w:rPr>
          <w:rFonts w:ascii="Times New Roman;Times;Serif" w:hAnsi="Times New Roman;Times;Serif"/>
          <w:b w:val="false"/>
          <w:i w:val="false"/>
          <w:caps w:val="false"/>
          <w:smallCaps w:val="false"/>
          <w:sz w:val="20"/>
        </w:rPr>
        <w:t>” In addition, we cannot assure you that Nasdaq or other regulatory agencies will not apply additional or more stringent requirements to us. Such uncertainty could cause the market price of the Ordinary Shares to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(As Revised) of the Cayman Islands and Solowin’s amended and restated memorandum and articles of association, Solowin’s board of directors may authorize and declare a dividend to shareholders at such time and of such an amount as they think fit if they are satisfied, on reasonable grounds, that immediately following the dividend it will be able to pay its debts as they become due in the ordinary course of business. For Solowin to transfer cash to HK Subsidiaries, Solowin may provide funding to HK Subsidiaries through loans or capital contributions without restrictions on the amount of the funds. As a holding company, Solowin may rely on dividends and other distributions on equity paid by HK Subsidiaries for its cash and financing requirements. Under Hong Kong law, HK Subsidiaries are permitted to provide funding to Solowin through dividend distribution without restrictions on the amount of the funds under the condition that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HK Subsidiaries. HK Subsidiaries have not declared any dividends or made other distributions to Solowin as of the date of this prospectus. In the future, cash proceeds raised from financings conducted outside of Hong Kong may be transferred by Solowin to HK Subsidiaries via capital contribution or shareholder loans, as the case may be. As of the date of this prospectus, neither Solowin nor any HK Subsidiary has paid any dividends or made any distributions to their respective shareholder(s), including any U.S. investors. During the years ended March 31, 2024, 2023 and 2022, and during the subsequent period up to the date of this prospectus, the transfer of cash between Solowin and HK Subsidiaries totaled approximately $957,000. This amount represented the repayment by Solowin to Solomon JFZ for certain IPO related expenses paid by Solomon JFZ and advances made by Solowin to Solomon Wealth for its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 Neither Solowin nor any of the HK Subsidiaries currently has plans to distribute earnings or declare cash dividends in the foreseeable future. We intend to keep any future earnings to finance the expansion of HK Subsidiaries’ business.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of the HK Subsidiaries incurs debt on its own behalf in the future, the instruments governing such debt may restrict its ability to pay dividends. See “</w:t>
      </w:r>
      <w:r>
        <w:rPr>
          <w:rFonts w:ascii="Times New Roman;Times;Serif" w:hAnsi="Times New Roman;Times;Serif"/>
          <w:b w:val="false"/>
          <w:i/>
          <w:caps w:val="false"/>
          <w:smallCaps w:val="false"/>
          <w:sz w:val="20"/>
        </w:rPr>
        <w:t>Prospectus Summary — Transfer of Cash Through Our Organization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Related to Our Business and Industry — 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November 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4115"/>
        <w:gridCol w:w="60"/>
        <w:gridCol w:w="455"/>
      </w:tblGrid>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11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11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411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Forward-Looking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411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411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Capitalization and Indebtedness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411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Share Capital</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411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411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411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Rights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411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411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Selling Shareholder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411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Taxation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411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4115"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Expenses of Issuance and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411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4115"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411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Indemnification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4115" w:type="dxa"/>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Enforcement of Civil Liabilities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411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b w:val="false"/>
                  <w:i w:val="false"/>
                  <w:caps w:val="false"/>
                  <w:smallCaps w:val="false"/>
                  <w:sz w:val="20"/>
                </w:rPr>
                <w:t>Material Changes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4115" w:type="dxa"/>
            <w:tcBorders/>
            <w:shd w:fill="FFFFFF" w:val="clear"/>
            <w:vAlign w:val="center"/>
          </w:tcPr>
          <w:p>
            <w:pPr>
              <w:pStyle w:val="TableContents"/>
              <w:bidi w:val="0"/>
              <w:spacing w:before="0" w:after="283"/>
              <w:jc w:val="left"/>
              <w:rPr/>
            </w:pPr>
            <w:hyperlink w:anchor="a_021">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411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b w:val="false"/>
                  <w:i w:val="false"/>
                  <w:caps w:val="false"/>
                  <w:smallCaps w:val="false"/>
                  <w:sz w:val="20"/>
                </w:rPr>
                <w:t>Incorporation of Certain Information by Reference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1"/>
      <w:bookmarkEnd w:id="11"/>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a “shelf” registration process. Under this shelf registration process, we may sell our securities described in this prospectus in one or more offerings up to a total dollar amount of $200,000,000 (or its equivalent in foreign or composite currencies). In addition, under this shelf registration process, the selling shareholder named in this prospectus under the caption “Selling Shareholder,” may offer or sell up to 2,960,000 Ordinary Shares in one or more offerings from time to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may be offered. Each time we, or the selling shareholder, offers securities, we or the selling shareholder will provide you with one or more supplements to this prospectus that will describe the specific amounts, prices and terms of the securities offered. The prospectus supplement may also add, update or change information contained in this prospectus. This prospectus, together with applicable prospectus supplements and the documents incorporated by reference in this prospectus and any prospectus supplements, includes all material information relating to this offering. Please read carefully both this prospectus and any prospectus supplement together with additional information described below under “Where You Can Find More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and any applicable prospectus supplement. Neither we, nor the selling shareholder, has authorized anyone to provide you with different or additional information. If anyone provides you with different or inconsistent information, you should not rely on it. We or the selling shareholder takes no responsibility for, and can provide no assurance as to the reliability of, any other information that others may give you. The information contained in this prospectus is accurate only as of the date of this prospectus, regardless of the time of delivery of this prospectus or any sale of securities described in this prospectus. This prospectus is not an offer to sell these securities and it is not soliciting an offer to buy these securities in any jurisdiction where the offer or sale is not permitted.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and the accompanying prospectus supplement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2" w:name="a_002"/>
      <w:bookmarkEnd w:id="12"/>
      <w:r>
        <w:rPr>
          <w:rFonts w:ascii="Times New Roman;Times;Serif" w:hAnsi="Times New Roman;Times;Serif"/>
          <w:b/>
          <w:i w:val="false"/>
          <w:caps w:val="false"/>
          <w:smallCaps w:val="false"/>
          <w:sz w:val="20"/>
          <w:bdr w:val="single" w:sz="12" w:space="1" w:color="000000"/>
        </w:rPr>
        <w:t>PROSPECTUS SUMMARY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but not limited to, our annual reports on Form 20-F and our other reports. Unless the context otherwise requires, the terms “we,” “our,” “us,” “our company,” the “Company,” and similar references in this prospectus each refer to SOLOWIN HOLDINGS, an exempted limited liability company incorporated in the Cayman Islands and its consolidated HK Subsidiaries.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Solowin is an exempted limited liability company incorporated under the laws of the Cayman Islands on July 23, 2021. As a holding company with no material operations of its own, Solowin currently conducts its operations primarily through its wholly owned subsidiaries, Solomon JFZ and Solomon Wealth, each a limited liability corporation incorporated in Hong Kong. See “</w:t>
      </w:r>
      <w:r>
        <w:rPr>
          <w:rFonts w:ascii="Times New Roman;Times;Serif" w:hAnsi="Times New Roman;Times;Serif"/>
          <w:b w:val="false"/>
          <w:i/>
          <w:caps w:val="false"/>
          <w:smallCaps w:val="false"/>
          <w:sz w:val="20"/>
          <w:bdr w:val="single" w:sz="12" w:space="1" w:color="000000"/>
        </w:rPr>
        <w:t>Our Corporate History and Structure</w:t>
      </w:r>
      <w:r>
        <w:rPr>
          <w:rFonts w:ascii="Times New Roman;Times;Serif" w:hAnsi="Times New Roman;Times;Serif"/>
          <w:b w:val="false"/>
          <w:i w:val="false"/>
          <w:caps w:val="false"/>
          <w:smallCaps w:val="false"/>
          <w:sz w:val="20"/>
          <w:bdr w:val="single" w:sz="12" w:space="1" w:color="000000"/>
        </w:rPr>
        <w:t>” below for more information of our corporate structure. Our total revenue was $4,291,000 for the fiscal year ended March 31, 2024, representing a decrease of $162,000, or 4% from $4,453,000 for the fiscal year ended March 31, 2023. The decrease in revenue was mainly driven by a decrease in revenue from corporate consultancy services. We recorded loss from operations of $4,433,000 for the fiscal year ended March 31, 2024, compared to income from operations of $1,288,000 for the fiscal year ended March 31, 2023, a decrease of $5,721,000 or 444%.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Solomon JFZ, one of our HK Subsidiaries, is one of the few Chinese investor-focused, versatile securities brokerage companies in Hong Kong and it offers a wide spectrum of products and services, spanning from traditional assets to virtual assets through its advanced and secured one-stop electronic platform. Solomon JFZ currently is primarily engaged in providing (i) securities related services, (ii) investment advisory services, (iii) corporate consultancy services and (iv) asset management services to customers. It is licensed with the HKSFC and a participant of the Hong Kong Stock Exchange to carry out regulated activities including Type 1 (Dealing in Securities), Type 4 (Advising on Securities), Type 6 (Advising on Corporate Finance) and Type 9 (Asset Management). Solomon JFZ strictly follows the requirements of the HKSFC for internal regulation and risk control to maximize the safety of investors’ assets. It provides online account opening and trading services via its Front Trading and Back-office Clearing systems, in conjunction with </w:t>
      </w:r>
      <w:r>
        <w:rPr>
          <w:rFonts w:ascii="Times New Roman;Times;Serif" w:hAnsi="Times New Roman;Times;Serif"/>
          <w:b w:val="false"/>
          <w:i/>
          <w:caps w:val="false"/>
          <w:smallCaps w:val="false"/>
          <w:sz w:val="20"/>
          <w:bdr w:val="single" w:sz="12" w:space="1" w:color="000000"/>
        </w:rPr>
        <w:t>Solomon VA+ (</w:t>
      </w:r>
      <w:r>
        <w:rPr>
          <w:rFonts w:ascii="Times New Roman;Times;Serif" w:hAnsi="Times New Roman;Times;Serif"/>
          <w:b w:val="false"/>
          <w:i w:val="false"/>
          <w:caps w:val="false"/>
          <w:smallCaps w:val="false"/>
          <w:sz w:val="20"/>
          <w:bdr w:val="single" w:sz="12" w:space="1" w:color="000000"/>
        </w:rPr>
        <w:t>– a highly integrated application accessible via any mobile device, tablet, or desktop, all of which are licensed from third parties. With strong financial and technical capabilities, Solomon JFZ has been providing brokerage services to global Chinese investors residing both inside and outside the PRC and institutional investors in Hong Kong and has been recognized and appreciated by users and industry professionals.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Solomon JFZ’s trading platform allows investors to trade over 10,000 listed securities and their derivative products listed on the Hong Kong Stock Exchange (HKSE), New York Stock Exchange (NYSE), Nasdaq, Shanghai Stock Exchange and Shenzhen Stock Exchange. In addition, it provides Hong Kong IPO underwriting, Hong Kong IPO Public Offer application and International Placing subscription, Hong Kong IPO margin financing services, Hong Kong Pre-IPO securities trading and US IPO subscription. Hong Kong IPO margin financing services refer to loans offered by a licensed financial institution to clients for the purpose of purchasing securities in an IPO before the issuers are listed on the Hong Kong Stock Exchange. The loan, commonly referred to as an IPO loan, enables clients to invest more than the required deposit of 5% or 10% of funds. The loan, which is short-term and interest-bearing, typically covers 90% or 95% of the investment amount and is repaid right after the allotment result release. Once the investor is allotted shares costing over the required deposit and a part of loan is used for the shares, the shares can be sold and the proceeds are utilized to repay the loan of the financial institution, with any remaining balance going to the investor. Our customers may also use Solomon JFZ’s platforms to trade various listed financial products, such as ETFs, Warrants and Callable Bull/Bear Contracts. Besides securities related service, Solomon JFZ also offers asset management services as an investment manager. Our High-Net-Worth customers may also subscribe to private fund products through Solomon JFZ.</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clients are mostly Chinese investors residing in Asia as well as institutional clients in Hong Kong, Australia and New Zealand. We classify those who have registered on Solomon JFZ’s platform as users and the users who have opened accounts on Solomon JFZ’s platform as clients. As of March 31, 2024, we had more than 15,500 clients who had opened trading accounts with Solomon JFZ and over 1,200 active clients who had assets in their trading accounts.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March 31, 2024, Solomon JFZ’s operations mainly consisted of four business segments: (i) securities related services, (ii) investment advisory services, (iii) corporate consultancy services and (iv) asset management services to customers.  The following summary describes the products and services offered in each of the reportable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Securities Related Services. </w:t>
            </w:r>
            <w:r>
              <w:rPr>
                <w:rFonts w:ascii="Times New Roman;Times;Serif" w:hAnsi="Times New Roman;Times;Serif"/>
                <w:b w:val="false"/>
                <w:i w:val="false"/>
                <w:caps w:val="false"/>
                <w:smallCaps w:val="false"/>
                <w:sz w:val="20"/>
              </w:rPr>
              <w:t xml:space="preserve">We always believe that our clients deserve a more convenient and reliable way to invest and manage their money, and Solomon JFZ uses advanced Internet technology to provide investors with faster brokerage services. Solomon JFZ provides securities related services through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Its professional securities brokerage network offers the clients access to multiple stock exchanges, including the HKSE, NYSE, Nasdaq, Shanghai Stock Exchange and Shenzhen Stock Exchange. It provides HKSE securities trading, IPO subscription and placement services, bond trading, fund subscription, equity custodian and agent services, investment immigrant account management services, enterprise employee shareholding exercise services, professional investment research services, and instant quotation service. Solomon JFZ charges brokerage commission fees to clients for trades made using its trading platform based on the transaction amount, subject to a minimum charge per transaction. To better serve the individual needs of the clients, Solomon JFZ may vary the commissions it charges based on the types of products or services, eligibility for discounts and other factors. For fund subscription, it charges clients with the fund subscription fee based on the subscription amount. Solomon JFZ also offers stock custodian and nominee services to the clients as ancillary services to securities related services. For the fiscal years ended March 31, 2024, 2023 and 2022, the securities related services segment accounted for 10%, 14% and 68% of our consolidated revenues, respectively.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Investment Advisory Services</w:t>
            </w:r>
            <w:r>
              <w:rPr>
                <w:rFonts w:ascii="Times New Roman;Times;Serif" w:hAnsi="Times New Roman;Times;Serif"/>
                <w:b w:val="false"/>
                <w:i w:val="false"/>
                <w:caps w:val="false"/>
                <w:smallCaps w:val="false"/>
                <w:sz w:val="20"/>
              </w:rPr>
              <w:t>. Solomon JFZ provides timely, accurate and valuable investment solutions advisory services for our clients, through a team consisting of financial analysts, experienced financial advisors and investment managers. It provides investment advice to our clients based on their financial needs and risk appetite, and Solomon JFZ charges them an investment advisory fee based on a percentage of the AUM. For the fiscal years ended March 31, 2024, 2023 and 2022, the investment advisory services segment accounted for 67%, 56% and 22% of our consolidated revenues, respectively.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Corporate Consultancy Services</w:t>
            </w:r>
            <w:r>
              <w:rPr>
                <w:rFonts w:ascii="Times New Roman;Times;Serif" w:hAnsi="Times New Roman;Times;Serif"/>
                <w:b w:val="false"/>
                <w:i w:val="false"/>
                <w:caps w:val="false"/>
                <w:smallCaps w:val="false"/>
                <w:sz w:val="20"/>
              </w:rPr>
              <w:t>. Solomon JFZ possesses the licenses issued by HKSFC to carry out regulated activities under Type 6 Advising on Corporate Finance. Type 6 license allows brokers to conduct activities relating to (i) acting as a sponsor of a listing applicant in an initial public offering; (ii) advising on the code on takeovers and mergers and share repurchases; and (iii) advising listed companies on the HKSE Listing Rules. Although Solomon JFZ Type 6 licensing condition restricts Solomon JFZ from acting as a sponsor of a listing applicant in an initial public offering and advising on the code on takeovers and mergers and share repurchase, it can conduct businesses related to (iii) above. It provides financial and independent financial advisory services for unlisted and listed companies that are looking for high-quality and value-added corporate finance advisory services at reasonable costs. Solomon JFZ acts as financial adviser to its corporate clients advising them on the terms and structures of proposed transactions and the relevant implications and compliance matters under the HKSE Listing Rules (including the Main Board and the Growth Enterprise Market “GEM”). In addition, it acts as independent financial adviser giving opinions to the independent board committee and independent shareholders of listed companies in Hong Kong. Solomon JFZ charges them advisory fees according to the type and size of the transaction, duration of the engagement, complexity of the transaction and the expected manpower requirements.  For the fiscal years ended March 31, 2024, 2023 and 2022, the corporate consultancy services segment accounted for 3%, 21% and 0% of our consolidated revenues, respectively.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Asset Management Services</w:t>
            </w:r>
            <w:r>
              <w:rPr>
                <w:rFonts w:ascii="Times New Roman;Times;Serif" w:hAnsi="Times New Roman;Times;Serif"/>
                <w:b w:val="false"/>
                <w:i w:val="false"/>
                <w:caps w:val="false"/>
                <w:smallCaps w:val="false"/>
                <w:sz w:val="20"/>
              </w:rPr>
              <w:t>. Our asset management team specializes in designing investment portfolios to meet the needs of investors with different risk appetite and to preserve and enhance the value of their assets. Solomon JFZ provides asset management services by applying different investment strategies to optimize their asset allocation. Solomon JFZ offers its own Fund products to professional investors, which are run by professional portfolio managers. It has entered into agreements with regulated financial institutions to provide services covering a broad range of products such as stocks, bonds, indexes, futures, and fund of funds. It issues and manages various fund products according to market trends and demand conditions. At this stage, Solomon JFZ focuses on developing active traditional private equity funds, such as balanced funds and equity funds, and plans to develop a more diversified product line as part of our long-term growth initiative. Solomon JFZ charges a management fee of 2% according to the AUM. In addition, it charges performance fees subject to high water marks. For the fiscal years ended March 31, 2024, 2023 and 2022, the asset management services segment accounted for 20%, 9% and 10% of our consolidated revenues, respectively.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14, 2024, the Company announced its strategic expansion into the private wealth management business under its newly formed Hong Kong subsidiary, Solomon Wealth, which was incorporated on December 4, 2023. We expect to serve a broad range of high-net-worth individuals, family offices, and trusts, by offering wealth management services and solutions that span traditional and virtual asset classes. We are optimistic about Solomon Wealth’s future and its role in Solowin’s growth strategy. By emphasizing quality over speed, we aim to provide excellent value to our clients and gain a strong position in the private wealth management sector. We endeavor to find high net worth clients who share our vision and focus on building a strong foundation to develop high quality services. Notwithstanding, the early stage of client acquisition is crucial for our long-term success. We believe our efforts will lead to a solid client base and future revenue. As of the date of March 31, 2024, Solomon Wealth had not generated any revenue.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5, 2024, Solowin entered into a membership interest purchase agreement with Cambria Capital, LLC (“Cambria Capital”), a Utah limited liability company and broker-dealer registered with the Financial Industry Regulatory Authority (“FINRA”), and Cambria Asset Management, Inc., a Nevada corporation, the sole owner of the Cambria Capital. Pursuant to the agreement, Solowin will purchase 100% of the membership interests in Cambria Capital for a total purchase price of $700,000. The transaction will be completed through two closings, the first of which consists of the payment of $200,000 in exchange for an acquisition of 24.9% of Cambria Capital’s membership interests. The parties have closed the acquisition of the 24.9% interest and are working on a continuing membership application requesting approval for a change of ownership, control, or business operations to be filed with FINRA in accordance with FINRA Rule 1017 (the “Rule 1017 Application”). In the event that FINRA approves the Rule 1017 Application and Cambrian Capital’s application to conduct firm commitment underwritten offerings, Solowin will have the right to consummate the second closing, pursuant to which Solowin will pay $500,000 in exchange for the remaining 75.1% of the membership interests in Cambria Capital. In the event of termination of this agreement by any party, after the initial closing but prior to the second closing, due to the second closing failing to occur by December 31, 2024, Solowin has the right to sell the 24.9% interest back to the seller at a discounted price of $100,000 within five business days after the termination.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providing services related to traditional assets, Solomon JFZ had been approved by the HKSFC to provide virtual asset dealing services and advisory services as of March 25, 2024. Virtual assets related services are subject to a new regulatory framework in Hong Kong. Solomon JFZ has been among the initial group of HKSFC approved licensed companies to provide virtual assets trading and advisory services to retail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16, 2024, the Company announced that Solomon JFZ has been selected as one of the three participating dealers for Harvest Global’s spot Bitcoin and Ethereum ETF in Hong Kong, Amoun the same period, Solomon JFZ enter into participation agreement with Harvest Global Investments Limited (“Harvest Global”) and China Asset Management (Hong Kong) Limited (“China AMC”) as the participating dealer for the VA spot ETFs. Solomon JFZ has become the largest holder of customer assets in the ChinaAMC Bitcoin ETF (HKEX: 9042), ChinaAMC Ethereum ETF (HKEX: 9046), and Harvest Bitcoin Spot ETF (HKEX: 3439). Solomon is also among the top holders of ChinaAMC Bitcoin ETF (HKEX: 3042) and ChinaAMC Ethereum ETF (HKEX: 3046).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26, 2024, the Company announced that it strengthened its partnership with OSL Digital Securities (“OSL”), the digital asset platform of OSL Group (863.HK), which is Hong Kong’s only publicly listed company fully dedicated to digital assets, to facilitate the in-kind subscription and redemption processes. In addition, Solomon JFZ has been among the first group of HKSFC approved participating dealers of in-kind subscription and redemption for spot virtual asset ETFs in Hong Kong, enabling investors to subscribe to or redeem ETF shares directly with the underlying digital assets.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28, 2024, the Company announced a strategic partnership with MaiCapital Limited (“MaiCapital”), a leading virtual assets investment manager in Hong Kong, to expand virtual asset allocation opportunities. MaiCapital is licensed to manage funds that may comprise up to 100% virtual assets which directly complements Solomon’s licensing for the trading of virtual assets.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16, 2024, the Company announced the launch of Solomon VA+, an institutional-grade all-in-one smart trading app, which is innovatively upgraded from the former one-stop electronic platform, Solomon Win. Solomon VA+ offers integrated financial services infrastructure designed to meet the evolving needs of next-generation and high-net-worth investors, which is the first all in one app in Hong Kong that combining traditional assets trading, virtual assets trading and wealth management services into one app, marking a significant industry development. The Solomon VA+ trading platform offers various virtual assets trading to professional investors and Bitcoin and Ethereum to retail investors, supporting clients with in-kind subscription of Bitcoin spot ETF and Ethereum spot ETF. Clients are also expected to deposit &amp; withdraw the cryptocurrencies via the APP within a short period, realizing a comprehensive allocation of traditional financial and virtual assets.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March 31, 2024, our virtual assets services have not generated any revenue. We kept actively collaborating with prominent players in the virtual asset market, nurturing positive relationships with them. Leveraging these partnerships, we are poised to expand our own business and provide comprehensive services. Solomon JFZ’s virtual assets services are expected to build large trading volumes and an exponential client assets base for Solomon JFZ in the near future.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With the recent development of the company and the expanding subsidiaries, our vision is to build an integrated financial services infrastructure for next generation investors, and our continuous efforts focus on being a one-stop comprehensive financial services provider. The business segment of the company has expanded into four new business segments: (i) investment banking services, (ii) wealth management services, (iii) asset management services and (iv) virtual assets services to customers. The following summary describes the products and services offered in each of the reportable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Investment Banking Services. </w:t>
            </w:r>
            <w:r>
              <w:rPr>
                <w:rFonts w:ascii="Times New Roman;Times;Serif" w:hAnsi="Times New Roman;Times;Serif"/>
                <w:b w:val="false"/>
                <w:i w:val="false"/>
                <w:caps w:val="false"/>
                <w:smallCaps w:val="false"/>
                <w:sz w:val="20"/>
              </w:rPr>
              <w:t>We are redefining investment banking by offering underwriting, private placement and investment advisory solutions tailored to guide investors and corporates through complex financial landscapes, ensuring transactions are executed with strategic insight that meets today’s capital market’s needs. Our investment banking services include capital raising, debt financing, secondary offerings and financial advisory services, which covers the former segments (ii) investment advisory services, (iii) corporate consultancy services.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Wealth Management Services</w:t>
            </w:r>
            <w:r>
              <w:rPr>
                <w:rFonts w:ascii="Times New Roman;Times;Serif" w:hAnsi="Times New Roman;Times;Serif"/>
                <w:b w:val="false"/>
                <w:i w:val="false"/>
                <w:caps w:val="false"/>
                <w:smallCaps w:val="false"/>
                <w:sz w:val="20"/>
              </w:rPr>
              <w:t>. Our wealth management division is dedicated to empowering investors with a comprehensive suite of services designed to manage, retain, and grow wealth with confidence. Our offerings are split into two main categories: Brokerage Services and Integrated Investment Solutions. The Integrated Investment Solutions covers the former segment (i) securities related services, by adding advisory services for high-net-worth individuals and institutional investors such as family offices and trusts.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Asset Management Services</w:t>
            </w:r>
            <w:r>
              <w:rPr>
                <w:rFonts w:ascii="Times New Roman;Times;Serif" w:hAnsi="Times New Roman;Times;Serif"/>
                <w:b w:val="false"/>
                <w:i w:val="false"/>
                <w:caps w:val="false"/>
                <w:smallCaps w:val="false"/>
                <w:sz w:val="20"/>
              </w:rPr>
              <w:t>. Our asset management services are crafted to meet the diverse investment goals of our clients through a broad range of asset classes and investment strategies. By expanding services from the former segment (iv) asset management services, our current asset management services offer investment funds, managed accounts, and external asset management, each designed to optimize clients’ portfolio’s performance.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Virtual Assets Services</w:t>
            </w:r>
            <w:r>
              <w:rPr>
                <w:rFonts w:ascii="Times New Roman;Times;Serif" w:hAnsi="Times New Roman;Times;Serif"/>
                <w:b w:val="false"/>
                <w:i w:val="false"/>
                <w:caps w:val="false"/>
                <w:smallCaps w:val="false"/>
                <w:sz w:val="20"/>
              </w:rPr>
              <w:t>. We are providing secure and innovative solutions in the virtual asset space including virtual assets trading, virtual assets spot ETFs creation and redemption, security token offerings, and blockchain solutions such as real-world assets tokenization. Solomon JFZ had been approved by the HKSFC to provide virtual asset dealing services and advisory services, and we are at the forefront of offering cutting-edge Web3 solutions that cater to the needs of modern investors and businesses, leveraging blockchain for secure and innovative virtual asset solutions.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History and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Solowin is a holding company incorporated in the Cayman Islands without material operations of its own. Solomon JFZ was established under the Hong Kong laws on July 25, 2016. Solomon JFZ does not have any subsidiaries.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From July 2021 to October 2022, we carried out a series of transactions to reorganize our corporate structure. As part of the reorganization, Solowin was incorporated as an exempted company under the laws of Cayman Islands on July 23, 2021.</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incorporation on July 23, 2021, one ordinary share, par value $1 per share, of Solowin was allotted and issued to Ogier Global Subscriber (Cayman) Limited, who transferred the share to Ling Ngai Lok on July 27, 2021. On the same day, Solowin issued an additional 49,999 Ordinary Shares, par value $1 per share, to Ling Ngai Lok. On June 9, 2022, in anticipation of a share exchange transaction among Solowin, Solomon JFZ and Master Venus Limited, the then sole shareholder of Solomon JFZ, Ling Ngai Lok transferred (i) 17,000 Ordinary Shares to Gemini Asia Holdings Limited; (ii) 16,500 Ordinary Shares to FORTUNE DYNASTY GLOBAL LIMITED and (iii) 16,500 Ordinary Shares to Vulcan Worldwide Holdings Limited. On October 17, 2022, Solowin, Solomon JFZ and Master Venus Limited completed the share exchange transaction, in which Master Venus Limited transferred 100% ownership of Solomon JFZ to Solowin. Master Venus Limited was then owned by three shareholders, Gemini Asia Holdings Limited, FORTUNE DYNASTY GLOBAL LIMITED and Vulcan Worldwide Holdings Limited. As a result of the above series of reorganization transactions, Solomon JFZ became the wholly-owned subsidiary of Solowin and the shareholders of Master Venus Limited became the owners of 100% of the then outstanding Ordinary Shares of Solowin.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7, 2022, (i) each of the existing issued and unissued shares of par value of $1.00 each of Solowin was subdivided into 10,000 shares of par value of $0.0001 each of Solowin; and (ii) the authorized share capital of Solowin was increased to $100,000 divided into 1,000,000,000 shares of $0.0001 each. On the same day, each of Gemini Asia Holdings Limited, FORTUNE DYNASTY GLOBAL LIMITED and Vulcan Worldwide Holdings Limited surrendered 165,920,000 Ordinary Shares, 161,040,000 Ordinary Shares and 161,040,000 Ordinary Shares, respectively, each of a par value of $0.0001 per share, to Solowin. As a result of the above surrenders, each of Gemini Asia Holdings Limited, FORTUNE DYNASTY GLOBAL LIMITED and Vulcan Worldwide Holdings Limited held 4,080,000 Ordinary Shares, 3,960,000 Ordinary Shares and 3,960,000 Ordinary Shares, respectively, each of a par value of $0.0001 per share.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8, 2023, we completed our initial public offering and issued and sold 2,000,000 Ordinary Shares.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4, 2023, as a part of our strategic expansion into the private wealth management business, Solowin formed a new wholly owned subsidiary, Solomon Wealth, under the laws of Hong Kong.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5, 2024, Solowin entered into a membership interest purchase agreement with Cambria Capital and Cambria Asset Management, Inc., pursuant to which Solowin will purchase 100% of the membership interests in Cambria Capital for a total purchase price of $700,000. As of the date of this prospectus, Solowin owns 24.9% of Cambria Capital.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Regulatory Permissions to Operate Business and for the Offering of Securities to Foreign Investors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Save as disclosed below, other than those requisite for a domestic company in Hong Kong engaged in the same business, we are not required to obtain any additional permission from any Hong Kong authorities.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Save as disclosed below, as of the date of this prospectus, HK Subsidiaries have received from Hong Kong authorities all requisite licenses, permissions or approvals needed to engage in the businesses currently conducted by them in Hong Kong, and no permission or approval has been denied. Such licenses and permissions include Type 1 license (dealing in securities), Type 4 license (Advising on securities), Type 6 license (advising on corporate finance) and Type 9 license (Asset management). The following table summarizes the licenses and permissions held by our HK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1065"/>
        <w:gridCol w:w="60"/>
        <w:gridCol w:w="1490"/>
        <w:gridCol w:w="60"/>
        <w:gridCol w:w="1430"/>
        <w:gridCol w:w="60"/>
        <w:gridCol w:w="923"/>
        <w:gridCol w:w="60"/>
        <w:gridCol w:w="5057"/>
      </w:tblGrid>
      <w:tr>
        <w:trPr/>
        <w:tc>
          <w:tcPr>
            <w:tcW w:w="106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License/Permit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Issuing Authority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Date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57"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w:t>
            </w:r>
          </w:p>
        </w:tc>
      </w:tr>
      <w:tr>
        <w:trPr/>
        <w:tc>
          <w:tcPr>
            <w:tcW w:w="1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1 license (dealing in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HKSFC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10, 2017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expiration 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57"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57"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asset dealing services)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 25,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expiration 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57"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dealing services, the licensee or registered institution shall comply with the “Terms and conditions for licensed corporations or registered institutions providing virtual asset dealing services under an omnibus account arrangement” (as amended from time to time). The term “virtual asset” is defined in section 53ZRA of the Anti-Money Laundering and Counter-Terrorist Financing Ordinance.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dealing services, the licensee or registered institution shall only provide such services to persons which are, and remain at all times, its clients in respect of its business in Type 1 regulated activity (dealing in securities). The term “dealing in securities” is specified in Part 2 of Schedule 5 to the Securities and Futures Ordinance. The term “virtual asset” is defined in section 53ZRA of the Anti-Money Laundering and Counter-Terrorist Financing Ordinance.</w:t>
            </w:r>
          </w:p>
        </w:tc>
      </w:tr>
      <w:tr>
        <w:trPr/>
        <w:tc>
          <w:tcPr>
            <w:tcW w:w="10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57" w:type="dxa"/>
            <w:tcBorders/>
            <w:shd w:fill="FFFF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4 license (Advising on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HKSFC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expiration date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94"/>
        <w:gridCol w:w="60"/>
        <w:gridCol w:w="635"/>
        <w:gridCol w:w="60"/>
        <w:gridCol w:w="800"/>
        <w:gridCol w:w="60"/>
        <w:gridCol w:w="919"/>
        <w:gridCol w:w="60"/>
        <w:gridCol w:w="5217"/>
      </w:tblGrid>
      <w:tr>
        <w:trPr/>
        <w:tc>
          <w:tcPr>
            <w:tcW w:w="2394"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asset advisory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expiration date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7"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advisory services, the licensee or registered institution shall comply with the “Terms and conditions for licensed corporations or registered institutions providing virtual asset advisory services” (as amended from time to time). The term “virtual asset” is defined in section 53ZRA of the Anti-Money Laundering and Counter-Terrorist Financing Ordinance.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advisory services, the licensee or registered institution shall only provide such services to persons which are, and remain at all times, clients of the licensed corporation or registered institution in respect of its business in Type 4 regulated activity (advising on securities). The term “advising on securities” is specified in Part 2 of Schedule 5 to the Securities and Futures Ordinance. The term “virtual asset” is defined in section 53ZRA of the Anti-Money Laundering and Counter-Terrorist Financing Ordinance. </w:t>
            </w:r>
          </w:p>
        </w:tc>
      </w:tr>
      <w:tr>
        <w:trPr/>
        <w:tc>
          <w:tcPr>
            <w:tcW w:w="23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6 license (advising on corporate finance, excluding acting as a sponsor of a listing applicant in an initial public offering or advising on the code on takeovers and mergers and share repurchases)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HKSFC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expiration date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7" w:type="dxa"/>
            <w:tcBorders/>
            <w:shd w:fill="CCEEFF" w:val="clear"/>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licensee shall not advise on matters/transactions falling within the ambit of the Codes on Takeovers and Mergers and Share Buy-backs issued by the Commission &amp; shall not act as sponsor in respect of an application for the listing on a recognized stock market of any securities</w:t>
            </w:r>
          </w:p>
        </w:tc>
      </w:tr>
      <w:tr>
        <w:trPr/>
        <w:tc>
          <w:tcPr>
            <w:tcW w:w="23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17"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3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9 license (Asset management)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HKSFC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expiration date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Licensing Condition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To conduct any regulated activity, a licensed corporation must appoint at least two responsible officers for each type of regulated activity. Among these officers, at least one should be an executive director, responsible for supervising the respective regulated activity. As of the date of this prospectus, Solomon JFZ has five responsible officers to carry out Type 1 regulated activities, three responsible officers to carry out Type 4 regulated activities, two responsible officers to carry out Type 6 regulated activities and two responsible officers to carry out Type 9 regulated activities. Among the responsible officers, at least one of them is an executive director. As a result, we are currently in full compliance with the HKSFC requirements on this matter.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we do not believe our operations in Hong Kong and future offerings in the United States are subject to the review or prior approval of the Cyberspace Administration of China, or the CAC or the CSRC. Specially, we do not currently expect the revised Cybersecurity Review Measures (the “revised CRM”), published by CAC on December 28, 2021, to have an impact on our business, operations or future offerings as we do not believe that any of our HK Subsidiaries is deemed to be an “operator of critical information infrastructure” or a “data processor” controlling personal information of no less than one million users, that are required to file for cybersecurity review, because: (i) each of our HK Subsidiaries is incorporated and operating in Hong Kong and the revised CRM remains unclear whether it shall be applied to a Hong Kong company; (ii) each of our HK Subsidiaries operates without any subsidiary or VIE structure in mainland China; (iii) as of date of this prospectus, our HK Subsidiaries collected and stored personal information of approximately 15,000 PRC individual clients, far less than one million users; and (vi) as of the date of this prospectus, none of our HK Subsidiaries has been informed by any PRC governmental authority that it is required to file for a cybersecurity review.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However, there remains significant uncertainty in the interpretation and enforcement of relevant PRC cybersecurity laws and regulations. If any of our HK Subsidiaries is deemed to be an “operator of critical information infrastructure” or a “data processor” controlling personal information of no less than one million users, our HK Subsidiaries’ operation could be subject to CAC’s cybersecurity review in the future. If any of our HK Subsidiaries (i) does not receive or maintain such permissions or approvals, should the approval is required in the future by the PRC government, (ii) inadvertently concluded that such permissions or approvals are not required, or (iii) applicable laws, regulations, or interpretations change and any of our HK Subsidiaries is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 In addition, if we do not receive or maintain our existing licenses, or we inadvertently conclude that governmental approvals are not required, or applicable laws, regulations, or interpretations change such that we are required to obtain approval in the future and we fail to obtain such approval on a timely basis, we may be subject to governmental investigations, fines, penalties, orders to suspend operations and rectify any non-compliance, or prohibitions from conducting certain business or any financing, which could result in a material adverse change in our operations, significantly limit or completely hinder our ability to offer or continue to offer securities to investors, or cause our securities to significantly decline in value or become worthless.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w:t>
      </w:r>
      <w:r>
        <w:rPr>
          <w:rFonts w:ascii="Times New Roman;Times;Serif" w:hAnsi="Times New Roman;Times;Serif"/>
          <w:b w:val="false"/>
          <w:i/>
          <w:caps w:val="false"/>
          <w:smallCaps w:val="false"/>
          <w:sz w:val="20"/>
          <w:bdr w:val="single" w:sz="12" w:space="1" w:color="000000"/>
        </w:rPr>
        <w:t>Risk Factors — Risks Relating to Doing Business in Jurisdictions We Operate — 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Ordinary Shares to investors and cause the value of the Ordinary Shares to significantly decline or be worthless.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Transfer of Cash Through Our Organization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neither Solowin nor any HK Subsidiary has paid any dividends or made any distributions to their respective shareholder(s), including any U.S.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years ended March 31, 2024, 2023 and 2022, and during the subsequent period up to the date of this prospectus, the transfer of cash between Solowin and HK Subsidiaries totaled approximately $957,000. This amount represented the repayment of $774,000 by Solowin to Solomon JFZ for certain IPO related expenses paid by Solomon JFZ and advances of $183,000 made by Solowin to Solomon Wealth for its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 Neither Solowin nor any of the HK Subsidiaries currently has plans to distribute earnings or declare cash dividends in the foreseeable future. We intend to keep any future earnings to finance the expansion of our business, and we do not anticipate that any cash dividends will be paid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determine to pay dividends on any of the Ordinary Shares in the future, as a holding company, Solowin will be dependent on receipt of funds from our HK Subsidiaries by way of dividend payments. In the future, cash proceeds raised from financings conducted outside of Hong Kong, may be transferred by Solowin to HK Subsidiaries via capital contribution or shareholder loans, as the case may be.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Subject to the Companies Act (As Revised) of the Cayman Islands and Solowin’s amended and restated memorandum and articles of association, Solowin’s board of directors may authorize and declare a dividend to shareholders at such time and of such an amount as they think fit out of either profit or share premium; provided that in no circumstances may a dividend be paid out of our share premium if this would result in Solowin being unable to pay its debts as they fall due in the ordinary course of business. For Solowin to transfer cash to HK Subsidiaries, Solowin may provide funding to HK Subsidiaries through loans or capital contributions without restrictions on the amount of the funds.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holding company, Solowin may rely on dividends and other distributions on equity paid by HK Subsidiaries for its cash and financing requirements. Under Hong Kong law, HK Subsidiaries are permitted to provide funding to Solowin through dividend distribution without restrictions on the amount of the funds under the condition that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HK Subsidiaries. In addition, there are no restrictions on foreign exchange and there are no limitations on the abilities of Solowin to transfer cash to or from our HK Subsidiaries or to investors under Hong Kong law. There are no restrictions or limitation under the laws of Hong Kong imposed on the conversion of HK dollar into foreign currencies and the remittance of currencies out of Hong Kong, nor is there any restriction on foreign exchange to transfer cash between Solowin and our HK Subsidiaries, across borders and to U.S. investors. Nor are there any restrictions and limitations on distributing earnings from HK Subsidiaries to Solowin or U.S. investors, or paying amounts owed. Solowin has not established cash management policies that dictate how funds are transferred.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w:t>
      </w:r>
      <w:r>
        <w:rPr>
          <w:rFonts w:ascii="Times New Roman;Times;Serif" w:hAnsi="Times New Roman;Times;Serif"/>
          <w:b w:val="false"/>
          <w:i/>
          <w:caps w:val="false"/>
          <w:smallCaps w:val="false"/>
          <w:sz w:val="20"/>
          <w:bdr w:val="single" w:sz="12" w:space="1" w:color="000000"/>
        </w:rPr>
        <w:t>Risk Factors — Risks Related to Our Business and Industry — 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bdr w:val="single" w:sz="12" w:space="1" w:color="000000"/>
        </w:rPr>
        <w:t>” for more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table below presents the cash flows from Solowin to its subsidiaries for the fiscal years ended March 31, 2024, 2023 and 2022 and the subsequent period up to the date of this prospectus: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7920" w:type="dxa"/>
        <w:jc w:val="left"/>
        <w:tblInd w:w="0" w:type="dxa"/>
        <w:tblLayout w:type="fixed"/>
        <w:tblCellMar>
          <w:top w:w="0" w:type="dxa"/>
          <w:left w:w="0" w:type="dxa"/>
          <w:bottom w:w="0" w:type="dxa"/>
          <w:right w:w="0" w:type="dxa"/>
        </w:tblCellMar>
      </w:tblPr>
      <w:tblGrid>
        <w:gridCol w:w="3905"/>
        <w:gridCol w:w="60"/>
        <w:gridCol w:w="183"/>
        <w:gridCol w:w="1021"/>
        <w:gridCol w:w="88"/>
        <w:gridCol w:w="88"/>
        <w:gridCol w:w="188"/>
        <w:gridCol w:w="252"/>
        <w:gridCol w:w="88"/>
        <w:gridCol w:w="88"/>
        <w:gridCol w:w="188"/>
        <w:gridCol w:w="252"/>
        <w:gridCol w:w="60"/>
        <w:gridCol w:w="60"/>
        <w:gridCol w:w="201"/>
        <w:gridCol w:w="1123"/>
        <w:gridCol w:w="75"/>
      </w:tblGrid>
      <w:tr>
        <w:trPr/>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6"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 xml:space="preserve">(April 1,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Between Solowin and Subsidiaries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2024-Present)</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(Asia) Holdings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774,000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Private Wealth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Restrictions on Cash Transfers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HK Subsidiary incurs debt on its own behalf in the future, the instruments governing such debt may restrict its ability to pay dividends. See “</w:t>
      </w:r>
      <w:r>
        <w:rPr>
          <w:rFonts w:ascii="Times New Roman;Times;Serif" w:hAnsi="Times New Roman;Times;Serif"/>
          <w:b w:val="false"/>
          <w:i/>
          <w:caps w:val="false"/>
          <w:smallCaps w:val="false"/>
          <w:sz w:val="20"/>
          <w:bdr w:val="single" w:sz="12" w:space="1" w:color="000000"/>
        </w:rPr>
        <w:t>Risk Factors — Risks Related to Our Business and Industry — 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Holding Foreign Company Accountable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more stringent standards have been imposed by the SEC and the Public Company Accounting Oversight Board, the PCAOB, Solowin’s securities may be prohibited from trading if our auditor cannot be fully inspected by the PCAOB. Pursuant to the Holding Foreign Companies Accountable Act, or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June 22, 2021, the U.S. Senate passed the Accelerating Holding Foreign Companies Accountable Act, or the AHFCAA, which, if enacted into law, would amend the HFCA Act and require the SEC to prohibit an issuer’s securities from trading on U.S. stock exchanges if its auditor is not subject to the PCAOB inspections for two consecutive “non-inspection” years instead of three and thus, reduces the time before Solowin’s securities may be prohibited from trading or delisted. In December 2022, an omnibus spending bill was passed by Congress and later signed into law, which included the enactment of provisions under the AHFCAA to accelerate the timeline for implementation of trading prohibitions under the HFCA Act from three consecutive years to two consecutive years. 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are headquartered in mainland China or Hong Kong. This list does not include our auditor, WWC, P.C., as our auditor is based in the U.S. and is registered with the PCAOB and subject to the PCAOB inspection. On August 26, 2022, the CSRC, the Ministry of Finance of the PRC, or the MOF, and the PCAOB signed a Statement of Protocol, or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However, uncertainties still exist as to whether the PCAOB will have continued access for complete inspections and investigations in the future. The PCAOB has indicated that it will act immediately to consider the need to issue new determinations if needed. While our auditor is based in the U.S. and is subject to the PCAOB inspection, in the event the PCAOB later determines that it is unable to inspect or investigate completely our auditor, then such lack of inspection could cause Solowin’s securities to be delisted from the U.S. stock exchange. See “</w:t>
      </w:r>
      <w:r>
        <w:rPr>
          <w:rFonts w:ascii="Times New Roman;Times;Serif" w:hAnsi="Times New Roman;Times;Serif"/>
          <w:b w:val="false"/>
          <w:i/>
          <w:caps w:val="false"/>
          <w:smallCaps w:val="false"/>
          <w:sz w:val="20"/>
          <w:bdr w:val="single" w:sz="12" w:space="1" w:color="000000"/>
        </w:rPr>
        <w:t>Risk Factors — Risks Related to Doing Business in Jurisdictions We Operate — The Ordinary Shares may be prohibited from trading in the United States under the HFCA Act in the future if the PCAOB is unable to inspect or investigate completely auditors located in China or Hong Kong. The delisting of the Ordinary Shares, or the threat of their being delisted, may materially and adversely affect the value of your investment.</w:t>
      </w:r>
      <w:r>
        <w:rPr>
          <w:rFonts w:ascii="Times New Roman;Times;Serif" w:hAnsi="Times New Roman;Times;Serif"/>
          <w:b w:val="false"/>
          <w:i w:val="false"/>
          <w:caps w:val="false"/>
          <w:smallCaps w:val="false"/>
          <w:sz w:val="20"/>
          <w:bdr w:val="single" w:sz="12" w:space="1" w:color="000000"/>
        </w:rPr>
        <w:t>” In addition, we cannot assure you that Nasdaq or other regulatory agencies will not apply additional or more stringent requirements to us. Such uncertainty could cause the market price of the Ordinary Shares to be materially and adversely affected.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current legal and commercial name of the Company is SOLOWIN HOLDINGS. SOLOWIN HOLDINGS is an exempted limited liability company incorporated under the laws of the Cayman Islands on July 23, 2021. The registered office of the Company is at the offices of Conyers Trust Company (Cayman) Limited, Cricket Square, Hutchins Drive, PO Box 2681, Grand Cayman, KY1-1111, Cayman Islands. The address of our principal place of business is Room 1910-1912A, Tower 3, China Hong Kong City, 33 Canton Road, Tsim Sha Tsui, Kowloon, Hong Kong. Our telephone number is +852 3428-3893.</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Ordinary Shares commenced trading on the Nasdaq Capital Market on September 7, 2023 under the ticker symbol “SWIN”.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agent for service of process in the United States is Cogency Global Inc., 122 East 42nd Street, 18th Floor, New York, NY 10168.</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website can be found at https://www.solomonwin.com.hk. The information contained on our website is not a part of this prospectus, nor is such content incorporated by reference herein, and should not be relied upon in determining whether to make an investment in our securities.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Securities We May Offer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use this prospectus to offer any of the following types of securities having an aggregate public offering price of $200,000,000: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593" w:type="dxa"/>
        <w:jc w:val="left"/>
        <w:tblInd w:w="0" w:type="dxa"/>
        <w:tblLayout w:type="fixed"/>
        <w:tblCellMar>
          <w:top w:w="0" w:type="dxa"/>
          <w:left w:w="0" w:type="dxa"/>
          <w:bottom w:w="0" w:type="dxa"/>
          <w:right w:w="0" w:type="dxa"/>
        </w:tblCellMar>
      </w:tblPr>
      <w:tblGrid>
        <w:gridCol w:w="38"/>
        <w:gridCol w:w="17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r>
    </w:tbl>
    <w:p>
      <w:pPr>
        <w:pStyle w:val="TextBody"/>
        <w:bidi w:val="0"/>
        <w:jc w:val="left"/>
        <w:rPr>
          <w:caps w:val="false"/>
          <w:smallCaps w:val="false"/>
          <w:bdr w:val="single" w:sz="12" w:space="1" w:color="000000"/>
        </w:rPr>
      </w:pPr>
      <w:r>
        <w:rPr>
          <w:caps w:val="false"/>
          <w:smallCaps w:val="false"/>
          <w:bdr w:val="single" w:sz="12" w:space="1" w:color="000000"/>
        </w:rPr>
        <w:t> </w:t>
      </w:r>
    </w:p>
    <w:tbl>
      <w:tblPr>
        <w:tblW w:w="1563" w:type="dxa"/>
        <w:jc w:val="left"/>
        <w:tblInd w:w="0" w:type="dxa"/>
        <w:tblLayout w:type="fixed"/>
        <w:tblCellMar>
          <w:top w:w="0" w:type="dxa"/>
          <w:left w:w="0" w:type="dxa"/>
          <w:bottom w:w="0" w:type="dxa"/>
          <w:right w:w="0" w:type="dxa"/>
        </w:tblCellMar>
      </w:tblPr>
      <w:tblGrid>
        <w:gridCol w:w="38"/>
        <w:gridCol w:w="17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w:t>
            </w:r>
          </w:p>
        </w:tc>
      </w:tr>
    </w:tbl>
    <w:p>
      <w:pPr>
        <w:pStyle w:val="TextBody"/>
        <w:bidi w:val="0"/>
        <w:jc w:val="left"/>
        <w:rPr>
          <w:caps w:val="false"/>
          <w:smallCaps w:val="false"/>
          <w:bdr w:val="single" w:sz="12" w:space="1" w:color="000000"/>
        </w:rPr>
      </w:pPr>
      <w:r>
        <w:rPr>
          <w:caps w:val="false"/>
          <w:smallCaps w:val="false"/>
          <w:bdr w:val="single" w:sz="12" w:space="1" w:color="000000"/>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bl>
    <w:p>
      <w:pPr>
        <w:pStyle w:val="TextBody"/>
        <w:bidi w:val="0"/>
        <w:jc w:val="left"/>
        <w:rPr>
          <w:caps w:val="false"/>
          <w:smallCaps w:val="false"/>
          <w:bdr w:val="single" w:sz="12" w:space="1" w:color="000000"/>
        </w:rPr>
      </w:pPr>
      <w:r>
        <w:rPr>
          <w:caps w:val="false"/>
          <w:smallCaps w:val="false"/>
          <w:bdr w:val="single" w:sz="12" w:space="1" w:color="000000"/>
        </w:rPr>
        <w:t> </w:t>
      </w:r>
    </w:p>
    <w:tbl>
      <w:tblPr>
        <w:tblW w:w="978" w:type="dxa"/>
        <w:jc w:val="left"/>
        <w:tblInd w:w="0" w:type="dxa"/>
        <w:tblLayout w:type="fixed"/>
        <w:tblCellMar>
          <w:top w:w="0" w:type="dxa"/>
          <w:left w:w="0" w:type="dxa"/>
          <w:bottom w:w="0" w:type="dxa"/>
          <w:right w:w="0" w:type="dxa"/>
        </w:tblCellMar>
      </w:tblPr>
      <w:tblGrid>
        <w:gridCol w:w="38"/>
        <w:gridCol w:w="170"/>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w:t>
            </w:r>
          </w:p>
        </w:tc>
      </w:tr>
    </w:tbl>
    <w:p>
      <w:pPr>
        <w:pStyle w:val="TextBody"/>
        <w:bidi w:val="0"/>
        <w:jc w:val="left"/>
        <w:rPr>
          <w:caps w:val="false"/>
          <w:smallCaps w:val="false"/>
          <w:bdr w:val="single" w:sz="12" w:space="1" w:color="000000"/>
        </w:rPr>
      </w:pPr>
      <w:r>
        <w:rPr>
          <w:caps w:val="false"/>
          <w:smallCaps w:val="false"/>
          <w:bdr w:val="single" w:sz="12" w:space="1" w:color="000000"/>
        </w:rPr>
        <w:t> </w:t>
      </w:r>
    </w:p>
    <w:tbl>
      <w:tblPr>
        <w:tblW w:w="1113" w:type="dxa"/>
        <w:jc w:val="left"/>
        <w:tblInd w:w="0" w:type="dxa"/>
        <w:tblLayout w:type="fixed"/>
        <w:tblCellMar>
          <w:top w:w="0" w:type="dxa"/>
          <w:left w:w="0" w:type="dxa"/>
          <w:bottom w:w="0" w:type="dxa"/>
          <w:right w:w="0" w:type="dxa"/>
        </w:tblCellMar>
      </w:tblPr>
      <w:tblGrid>
        <w:gridCol w:w="38"/>
        <w:gridCol w:w="17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and</w:t>
            </w:r>
          </w:p>
        </w:tc>
      </w:tr>
    </w:tbl>
    <w:p>
      <w:pPr>
        <w:pStyle w:val="TextBody"/>
        <w:bidi w:val="0"/>
        <w:jc w:val="left"/>
        <w:rPr>
          <w:caps w:val="false"/>
          <w:smallCaps w:val="false"/>
          <w:bdr w:val="single" w:sz="12" w:space="1" w:color="000000"/>
        </w:rPr>
      </w:pPr>
      <w:r>
        <w:rPr>
          <w:caps w:val="false"/>
          <w:smallCaps w:val="false"/>
          <w:bdr w:val="single" w:sz="12" w:space="1" w:color="000000"/>
        </w:rPr>
        <w:t> </w:t>
      </w:r>
    </w:p>
    <w:tbl>
      <w:tblPr>
        <w:tblW w:w="693" w:type="dxa"/>
        <w:jc w:val="left"/>
        <w:tblInd w:w="0" w:type="dxa"/>
        <w:tblLayout w:type="fixed"/>
        <w:tblCellMar>
          <w:top w:w="0" w:type="dxa"/>
          <w:left w:w="0" w:type="dxa"/>
          <w:bottom w:w="0" w:type="dxa"/>
          <w:right w:w="0" w:type="dxa"/>
        </w:tblCellMar>
      </w:tblPr>
      <w:tblGrid>
        <w:gridCol w:w="38"/>
        <w:gridCol w:w="170"/>
        <w:gridCol w:w="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issue securities of the types listed above which are convertible or exchangeable for other securities so listed. In addition, this prospectus relates to the resale, from time to time, of up to an aggregate of 2,960,000 Ordinary Shares by the selling shareholder named in this prospectus, including its donees, pledgees, transferees, assignees or other successors-in-interest. We will not receive any proceeds from sales of the Ordinary Shares offered by the selling shareholder although we will incur certain expenses in connection with such offering. When we or the selling shareholder decides to sell a particular class or series of securities, we or the selling shareholder will provide specific terms of the offered securities in a prospectus supplement. A prospectus supplement will describe the specific types, amounts, prices, and detailed terms of any of these offered securities and may describe certain risks associated with an investment in the securities. Terms used in the prospectus supplement will have the meanings described in this prospectus, unless otherwise specified.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the Jumpstart Our Business Startups Act of 2012 (the “JOBS Act”) and may take advantage of reduced public reporting requirements. These provisions include, but are not limited to:</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in the assessment of our internal control over financial reporting;</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regarding executive compensation in periodic reports, proxy statements and registration statements; and</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on executive compensation and shareholder approval of any golden parachute payments not previously approved.</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provisions until the last day of our fiscal year following the fifth anniversary of the date of the first sale of the Ordinary Shares pursuant to our initial public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107 of the JOBS Act provides that an emerging growth company can take advantage of the extended transition period provided in Section 7(a)(2)(B) of the Securities Act of 1933, as amended (the “Securities Act”), for complying with new or revised accounting standards.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report under the Securities Exchange Act of 1934, as amended (the “Exchange Act”), as a non-U.S. company with “foreign private issuer” status. Even after we no longer qualify as an emerging growth company, so long as we qualify as a foreign private issuer under the Exchange Act, we will be exempt from certain provisions of the Exchange Act and the rules thereunder that are applicable to U.S. domestic public companies, including: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that require U.S. domestic public companies to issue financial statements prepared under U.S. GAAP;</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of the Exchange Act that regulate the solicitation of proxies, consents or authorizations in respect of any securities registered under the Exchange Act;</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of the Exchange Act that require insiders to file public reports of their share ownership and trading activities and that impose liability on insiders who profit from trades made in a short period of time; and</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that require the filing with the SEC of quarterly reports on Form 10-Q, containing unaudited financial and other specified information, and current reports on Form 8-K, upon the occurrence of specified significant events.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file with the SEC, within four months after the end of each fiscal year (or such other reports required by the SEC), an annual report on Form 20-F containing financial statements audited by an independent registered public accounting firm.</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Both foreign private issuers and emerging growth companies are also exempt from certain of the more extensive SEC executive compensation disclosure rules. Therefore, if we no longer qualify as an emerging growth company but remain a foreign private issuer, we will continue to be exempt from such rules and will continue to be permitted to follow our home country practice as to the disclosure of such matters.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a number of risks that you should consider and understand before making an investment decision regarding securities that we are offering. You should carefully consider all of the information set forth in this prospectus and, in particular, should evaluate the specific factors set forth or incorporated by reference in the section titled “Risk Factors” and before deciding whether to invest in our securities. These risks include, but are not limited 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Kong’s securities brokerage industry is highly competitive, and Solomon JFZ is subject to extensive and evolving regulatory requirements in the jurisdictions in which it operates.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obtain or maintain all necessary licenses, permits and approvals and to make all necessary registrations and filings for our business activities in multiple jurisdictions and related to residents therein, especially in the PRC or otherwise relating to PRC residents.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level of commission and fee rates may decline in the future. Any material reduction in our commission or fee rates could reduce our profitability.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derived a substantial portion of revenue from a small number of key clients.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all our operations are in Hong Kong. However, the legal and operational risks associated with operations in China may also apply to operations in Hong Kong. Changes in the policies, regulations, rules, and the enforcement of laws of the Chinese government may also be quick with little advance notice and our assertions and beliefs of the risk imposed by the PRC legal and regulatory system cannot be certain.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enactment of Law of the PRC on Safeguarding the Hong Kong National Security Law could impact our Hong Kong operating subsidiaries.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political risks associated with conducting business in Hong Kong.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Ordinary Shares may be delisted under the HFCA At if the PCAOB is unable to inspect our auditors. The delisting of the Ordinary Shares, or the threat of such delisting, may materially and adversely affect the value of your investment. In December 2022, an omnibus spending bill was signed into law, which included the enactment of provisions under the AHFCAA to accelerate the timeline for implementation of trading prohibitions under the HFCA Act from three consecutive years to two consecutive years. On December 16, 2021, the PCAOB issued its determination that the PCAOB is unable to inspect or investigate completely PCAOB-registered public accounting firms headquartered in mainland China and Hong Kong, because of positions taken by authorities in the jurisdictions, and the PCAOB included in the report of its determination a list of the accounting firms that are headquartered in mainland China or Hong Kong. This list does not include our auditor, WWC, P.C. While our auditor is based in the U.S. and is registered with the PCAOB and subject to the PCAOB inspection, in the event it is later determined that the PCAOB is unable to inspect or investigate completely our auditor, then such lack of inspection could cause our securities to be delisted from the stock exchange.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become subject to certain new PRC laws and regulations regarding cyber security, data protection and overseas listing.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Ordinary Shares experienced extreme price volatility unrelated to our actual or expected operating performance, financial condition or prospects, making it difficult for prospective investors to assess the rapidly changing value of the Ordinary Shares and investors may experience losses on their investment.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maintain a listing of the Ordinary Shares on Nasdaq.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not historically declared or paid dividends on the Ordinary Shares and, consequently, your ability to achieve a return on your investment will depend on appreciation in the price of the Ordinary Shares.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Solowin’s directors, officers and principal shareholders have significant voting power.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exempt from certain provisions under the Exchange Act applicable to U.S. domestic public companies.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foreign private issuer, we are permitted to rely on exemptions from certain Nasdaq corporate governance standards applicable to domestic U.S. issuers. This may afford less protection to holders of the Ordinary Shares.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face difficulties in protecting your interests, and your ability to protect your rights through U.S. courts may be limited, because Solowin is incorporated under Cayman Islands law.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03"/>
      <w:bookmarkEnd w:id="13"/>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We operate in a highly competitive environment in which there are numerous factors which can influence our business, financial position or results of operations and which can also cause the market value of our Ordinary Shares to decline. Many of these factors are beyond our control and therefore, are difficult to predict. Prior to making a decision about investing in our securities, you should carefully consider the risk factors discussed in the section entitled “Risk Factors” contained in our most recent Annual Report on Form 20-F filed with the SEC, and in any applicable prospectus supplement and our other filings with the SEC and incorporated by reference in this prospectus or any applicable prospectus supplement, together with all of the other information contained in this prospectus or any applicable prospectus supplement.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heavily regulated industry, and are subject to extensive and evolving regulatory requirements in the jurisdictions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highly-regulated industry and must comply with the applicable regulatory requirements in the jurisdictions we operate. Our major regulators include Cayman Islands Monetary Authority (CIMA) and Securities and Futures Commission of Hong Kong, or HKSFC. These regulators and self-regulatory organizations govern our business operations in a variety of ways and conduct regular examinations of our business to monitor our compliance with applicable regulations. Among other things, we are subject to regulations with regard to (i) our sales practices, including our interaction with and solicitation of clients and our marketing activities; (ii) the custody, control and safeguarding of our clients’ assets; (iii) maintaining specified minimum amounts of capital and limiting withdrawals of funds from our regulated operating subsidiaries; (iv) submitting regular financial and other reports to regulators; (v) licensing for our operating subsidiaries and our employees; and (vi) the conduct of our directors, officers, employees and affiliates. In addition, as the online brokerage service industry in Hong Kong is at a relatively early stage of development, interpretation and enforcement of the applicable regulatory regime are subject to significant uncertainties, which may result in difficulties in determining whether our existing practices violate any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regulations is complicated, time-consuming and expensive. Our ability to comply with all applicable laws and regulations is largely dependent on our internal compliance system, as well as our ability to attract and retain qualified compliance personnel. While we maintain systems and procedures designed to ensure that we comply with applicable laws and regulations, we cannot assure you that we are able to prevent all possible violations. Non-compliance with applicable laws or regulations could result in sanctions being levied against us, including the imposition of fines or penalties, censures, restrictions on certain business activities, suspension or expulsion from a jurisdiction or market or the revocation or limitation of licenses, which could adversely affect our reputation, prospects, revenues and earnings. Furthermore, any future change in the regulatory, legal and industry environment for the securities brokerage, investment advisory, corporate finance and asset management may have a significant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regular investigations, inquiries and inspections from the relevant regulatory bodies. For example, from time to time, Solomon JFZ, our HKSFC-licensed subsidiary, may be subject to or required to assist in inquiries or investigations by regulatory authorities in Hong Kong, principally the HKSFC. The HKSFC conducts on-site reviews and off-site monitoring to ascertain and supervise Solomon JFZ’s business conduct and compliance with relevant regulatory requirements and to assess and monitor, among other things, its financial soundness. Similarly, Solowin may be subject to CIMA’s on-site inspections and inquiries from time to time. If any misconduct is identified as a result of inquiries, reviews, investigation or inspections, the relevant regulatory authorities may take disciplinary actions against us. There also remains a risk that we may not be able to rectify our practices to be in compliance with the relevant rules and regulations following the identification of any such misconduct or material non-compliance, which may result in regulators taking additional actions against it. We have not been inspected by HKSFC so far. We have an external audit carried out every year, and we have hired an external compliance consulting company since September 1, 2021 on compliance review and checking.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or maintain all necessary licenses, permits and approvals and to make all necessary registrations and filings for our business activities in multiple jurisdictions and related to residents therein, especially in the PRC or otherwise relating to PRC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heavily regulated industry, which requires various licenses, permits and approvals in different jurisdictions to conduct our businesses. Our clients include people who live in jurisdictions where we do not have licenses issued by the local regulatory bodies. It is possible that authorities in those jurisdictions may in the future take the position that we are required to obtain licenses or otherwise comply with local laws and regulations in order to conduct our business with residents living in those jurisdictions. In any jurisdictions, if we fail to comply with the regulatory requirements, we may risk being disqualified for our existing businesses or being rejected for renewal of our qualifications and/or licenses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we do not hold any licenses or permits from any PRC regulatory bodies for Solomon JFZ’s securities related business. Currently, a large number of our clients are PRC residents and some independent contractors are providing supporting services remotely from the PRC. We believe that since the transactions on Solomon JFZ’s trading platform are all conducted outside PRC, Solomon JFZ’s current activities in China do not require a securities brokerage license, a making license or permit under existing PRC securities laws and regulations. However, it is noted on December 30, 2022, CSRC issued a rectification request to similarly situated companies, specifically described as “Futu Holdings and UP Fintech Holding Limited have conducted cross-border securities business for domestic investors without the approval of the CSRC, which constitutes illegal operation of securities business under the Securities Law and other relevant laws and regulations, and the CSRC intends to require Futu Holdings and UP Fintech Holding Limited to rectify the aforementioned violations.” Moreover, CSRC has promulgated Administrative Measures on Securities Brokerage Services effective on February 28, 2023, which clarifies that CSRC will strengthen the daily supervision of illegal cross-border brokerage business and steadily and orderly promote the rectification and standardization of such activity. Therefore, we tend to believe that CSRC is now gradually strengthening its regulation of this cross-border online brokerage business, and Solomon JFZ’s business involving PRC residents may also need to comply with the new regulatory requirements in the future. As a result, there remains uncertainties as to how the current and any future PRC laws and regulations will be interpreted or implemented in the context of operating securities-related business in China. We cannot assure you that our current operating model will not be deemed as operating securities brokerage business in China, subjecting us to further inquiries or rectifications. If certain of Solomon JFZ’s activities in China were deemed by PRC regulators to be providing securities brokerage services, investment consulting services or stock options brokerage business in China, we would be required to obtain the required licenses or permits from the relevant regulatory bodies, including CSRC. The failure to obtain such licenses or permits may subject us to regulatory actions and penalties, including fines, suspension of parts or all of Solomon JFZ’s business relations with PRC individuals and entities, and temporary suspension or removal of our websites and mobile application in China. In such cases, our business, financial condition,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governmental control of currency conversion, cross-border remittance and offshore investment could have a direct impact on the trading volume on our platform, and the PRC government could further tighten restrictions on converting Renminbi to foreign currencies and/or deems our practices to be in violation of PRC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clients are PRC residents and are therefore subject to the restrictions under the rules and regulations promulgated by the State Administration of Foreign Exchange (the “SAFE”), regarding the conversion of Renminbi into foreign currencies and the remittance and the use of such funds outside China. Under current PRC foreign exchange regulations, which are Administrative Measures on Individual Foreign Exchange issued in December 2006 and Implementation Regulations for the Administrative Measures on Individual Foreign Exchange issued in January 2007, each PRC citizen is permitted to convert up to an aggregate of $50,000 equivalent Renminbi each year for appropriate personal use. Such appropriate use does not include direct investment into secondary stock markets, futures, insurances, asset management products or other trading. PRC residents who intend to convert Renminbi into U.S. dollars exceeding such quota are required to go through additional application and review procedures with commercial banks designated by the SAFE. In fact, according to the Notice of the State Administration of Foreign Exchange on Issues Relating to Foreign Exchange Control for Overseas Investment and Financing and Round-tripping by Chinese Residents through Special Purpose Vehicles (Hui Fa [2014] No.37), except for the red chip model (individuals in China set up SPVs abroad and return to invest) recognized by SAFE , PRC residents can only invest in overseas markets indirectly through channels such as Shanghai-Shenzhen-Hong Kong Stock Exchange, mutual recognition of funds between the Mainland and Hong Kong or purchase of QDII/RQDII products. Although we require our clients to comply with the relevant rules and regulations pursuant to the agreements we enter into with them, we cannot assure you that our clients will follow the rules and regulations or the provisions in the agreements at all times. We have not accepted any direct Renminbi deposit from mainland China since start-up and do not handle the Renminbi cross-border currency conversion for our Chinese clients through any of our accounts or entities, and we do not require our clients to submit evidence of approval or registration with respect to the foreign currency used for offshore investments. We cannot assure you that our current operating model, which includes redirecting our clients to open accounts with third party service provider, will be not deemed as assisting with the currency conversion by SAFE. In such cases, we may face regulatory warnings, correction orders, condemnation and fines, and may not be able to conduct our current business in the future. In addition, any misbehavior or violation by our clients of applicable laws and regulations could lead to regulatory inquiries, investigations or penalties that involve us. Moreover, in accordance with the rectification requirements imposed by the CSRC on December 30, 2022 in respect of Futu Holdings and UP Fintech Holding Limited, it cannot be ruled out that we will not subsequently be penalized by the relevant PRC authorities due to foreign exchange control issues for our PRC residents clients and Solomon JFZ may also be prohibited from accepting incremental fund transfers to such investors’ accounts in violation of PRC foreign exchange control regulations due to this issue, like above mentioned those two companies, which may make it more difficult for us to develop new PRC residents customers subsequently.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PRC authorities and the commercial banks designated by the SAFE to conduct foreign exchange services have significant discretion in interpreting, implementing and enforcing the foreign exchange rules and regulations, and due to many other factors that are beyond our control and ability to anticipate, we may face more severe consequences, including being asked to take additional and burdensome measures to monitor the source and use of the foreign currency funds in the accounts of our clients, remove our account opening functions, or suspend our operations pending an investigation or indefinitely. In such cases, we may face regulatory warnings, correction orders, condemnation, fines and confiscation of income, and may not be able to conduct our current business in the future. We may also be subject to regular inspections from relevant authorities from time to time. If such situations occur, our business, financial condition, results of operations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PRC government further tightens the amount of currency exchange allowed for PRC residents, increases control over the remittance of currency out of the PRC, restricts the assistance or participation of any non-resident entities in the currency conversion, or specifically prohibits any exchanges for securities-related investment purposes, the trading activities of Chinese residents on our platform could be restricted, which would significantly reduce the trading volume on our platform. As our revenues from brokerage commission and market making income depends heavily on the total trading volume facilitated on our platform, the occurrence of any of the above regulatory changes would have a material and adverse impact on our business,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were deemed to be an investment company under the Investment Company Act of 1940, we may be required to institute burdensome compliance requirements and our activities may be restricted, which could adversely affect the price of the Ordinary Shares and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will generally be deemed an “investment company” under Section 3(a)(1) of the Investment Company Act of 1940, as amended (the “1940 Act”) if: (a) it is or holds itself out as being engaged primarily, or proposes to engage primarily, in the business of investing, reinvesting or trading in securities, or (b) absent an applicable exemption, it owns or proposes to acquire investment securities having a value exceeding 40% of the value of its total assets (exclusive of U.S. government securities and cash items) on an unconsolidated basis. We believe we are not an “investment company” and do not intend to become registered as an “investment company” within the meaning of the 1940 Act, as we do not hold ourselves out as being primarily engaged in the business of investing, reinvesting, or trading in securities. As of March 31, 2024, Solomon JFZ’s operations mainly consisted of four business segments: (i) securities related services, (ii) investment advisory services, (iii) corporate consultancy services, and (iv) asset management services to our customers. Solomon JFZ charges brokerage commission fees to clients for trades made using its trading platform based on the transaction amount, subject to a minimum charge per transaction. Solomon JFZ provides investment advice to our clients based on their financial needs and risk appetite, and it charges them an investment advisory fee based on a percentage of the AUM. Solomon JFZ also provides corporate consultancy services to unlisted and listed companies that are looking for high-quality and value-added corporate finance advisory services at reasonable costs. It charges our clients advisory fees according to the type and size of the transactions, duration of the engagement, complexity of the transaction and the expected manpower requirements. For its asset management services, Solomon JFZ generates revenue through fund subscription fees, fund management fees, and performance fees. Solomon JFZ’s management funds provide eligible investors with the chance to invest under professional management. The subscription fees for asset management services vary based on the subscription amount, ranging from 1% to 5% for specific funds and investors. In addition, as of March 31, 2024, Solomon JFZ’s investment securities represented less than 40% of the value of our total assets (exclusive of U.S. government securities and cash items) on an unconsolidated basis calculated in accordance with Section 3(a)(1)(C) of the 1940 Act. The Company does not own any securities as defined as “investment securities” under Section 3(a)(2) of the 1940 Act. Because neither Solowin nor Solomon JFZ owns securities of other companies, they will not receive any dividend or interest income, nor will they recognize gains or losses from sales of securities and there is no expectation that these circumstances will change in the foreseeable future. We intend to continue to conduct our operations so that we will not be deemed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we become or are determined to be primarily engaged in the business of investing, reinvesting or trading in securities, we could become subject to regulation under the 1940 Act. If we were to become subject to the 1940 Act, any violation of the 1940 Act could subject us to material adverse consequences, including potentially significant regulatory penalties and the possibility that certain of our contracts would be deemed unenforceable. Additionally, as a foreign private issuer, we would not be eligible to register under the 1940 Act. Accordingly, we would either have to obtain exemptive relief from the SEC, modify our contractual rights or dispose of investments in order to fall outside the definition of an investment company, each of which may have a material adverse effect on the Company. Additionally, we may have to forego potential future acquisitions of interests in companies that may be deemed to be investment securities within the meaning of the 1940 Act. Finally, failure to avoid being deemed an investment company under the 1940 Act could also make us unable to comply with our reporting obligations as a public company in the United States and lead to our being delisted from Nasdaq, which would have a material adverse effect on the liquidity and value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retain existing clients or attract new clients, or we may fail to offer services to address the needs of our clients as they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significant portion of our revenues from Solomon JFZ’s commissions based upon the trading volume or the number of relevant transaction contracts executed by our clients. The historically rapidly growing trading volume on Solomon JFZ’s platform was primarily driven by the increasing number of our active clients in the past. However, our total revenue-generating clients have declined over the past three fiscal years. As of March 31, 2024, 2023 and 2022, we had 1,240, 1,400 and 2,100 revenue-generating clients, respectively. Revenue-generating clients are active clients who have assets in their trading accounts and have trading activities. We have seen a significant decrease in this group of clients, primarily due to a sharp increase in withdrawals and limited growth in new clients depositing money after opening their accounts. The high number of withdrawals is directly tied to a decline in investor confidence because of bad performance in the Hong Kong stock market, which was evidenced by a 22% drop in the HSI index over a six-month period from March 31 2022 to September 30, 2022. Investors who lost interest in trading chose to withdraw their money and avoid making impulsive trading. The limited growth in new client deposits is largely due to the absence of appealing initial public offerings in the Hong Kong stock market. According to statistical data from HKEX, the number of IPOs in the Hong Kong stock market declined significantly during the past years from 154 in 2020 to 90 in 2022, or a compounded decrease of 24%. Additionally, in 2022, 31 of the 90 IPOs had trading prices falling on their first day of trading, while 49 companies underperformed their initial offering prices throughout the year, representing 34% and 54% of the total number of IPOs in the year, respectively. To further grow our business and expand our operation, we rely on continuous efforts in retaining existing clients and attracting new 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existing clients is dependent upon multiple factors, some of which are beyond our control. Our clients may not continue to place trading orders or increase the level of their trading activities on Solomon JFZ’s platform if we cannot match the prices offered by other market players or if we fail to deliver satisfactory services. Failure to deliver services in a timely manner at competitive prices and provide a satisfactory experience will cause our clients to lose confidence in us and use our platform less frequently or even stop using Solomon JFZ’s platform altogether. Even if we are able to provide high-quality and satisfactory services on Solomon JFZ’s platform in a timely manner and at favorable pricing terms, we cannot assure you that we will be able to retain existing clients, encourage repeat and increase trading transactions, in part due to reasons beyond our control, such as the personal financial situation of our clients or the deterioration of capital markets generally. We have taken efforts in attracting new clients and expanding our brand influence, and we plan to continue doing so. However, these efforts may not be cost effective and we cannot assure you that we will be able to grow our client base as we expect, which may in turn materially and adversely affect our business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level of commission and fee rates may decline in the future. Any material reduction in our commission or fee rates could reduce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derived from advisory fees charged to clients for Solomon JFZ’s investment advisory services. Revenues generated from investment advisory fees amounted to approximately $2.86 million, or 67%, approximately $2.52 million, or 56% and approximately $0.73 million, or 22% of our total revenue for the fiscal years ended March 31, 2024,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generates revenue through advisory fees utilizing a pricing model that carefully balances cost, value, and affordability. When determining the cost elements, factors such as human resources, sales commissions, and operational expenses are taken into consideration. Additionally, Solomon JFZ may implement a reduced percentage fee structure to accommodate affordability or to attract new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commissions charged to clients for Solomon JFZ’s securities related services amounted to $51,000, or 1%, $74,000, or 2% and $1.84 million, or 57% of our total revenue for the fiscal years ended March 31, 2024, 2023 and 2022. The significant decrease in the fiscal year ended March 31, 2024 was mainly due to the poor equity market performance in Hong Kong and a lack of attractive IPOs in the Hong Kong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online trading commission fees, our fees are about 60% lower than those of banks, which charge high fees due to their reputation for securing assets and providing convenient access to purchasing power. However, our fees are less competitive compared to those of larger online securities companies with a larger client base, such as Futu Securities. For IPO subscription fees, we offer competitive rates similar to those of banks, charging a fee of HKD 100 per subscription and winning lot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pressure on our commission or fee rates as a result of competition in the financial service industry and online brokerage industry. Some of our competitors offer a broader range of services to a larger client base and enjoy higher trading volumes than we do. Consequently, our competitors may be able to offer trading services at lower commissions or fee rates than we currently offer or may be able to offer. For example, some banks in Hong Kong and the United States have started offering zero commission fees or similar promotions to attract clients. As a result of this pricing competition, we could lose both market share and revenues. We believe that any downward pressure on commission or fee rates would likely continue and intensify as we continue to develop our business and gain recognition in our markets. A decline in our commission or fee rates could lower our revenues, which would adversely affect our profitability. In addition, our competitors may offer other financial incentives we may not be able to offer, such as rebates or discounts in order to induce trading in their systems, which may in turn materially and adversely affect our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the profitability of our clients’ investments or ensure that our clients will make rational investment judgements.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the profitability of the investments made by clients on Solomon JFZ’s trading platform. The profitability of our clients’ investments is directly affected by elements beyond our control, such as economic and political conditions, broad trends in business and finance, changes in volume of securities and futures transactions, changes in the markets in which such transactions occur and changes in how such transactions are processed.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many of our clients are retail investors, who are less sophisticated compared with institutional investors. Although we include prominent risk warnings and disclaimers on our apps throughout the transaction process and, in accordance with relevant regulations, have designed an appropriateness test to assess the level of experience and risk level of the client to assess whether certain services or products are appropriate for such client, there is no guarantee that the appropriateness test for any product is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who have suffered from unfavorable trading results, financial losses, or even liquidity issues in connection with the financial losses may attribute their losses to us and/or may discontinue trading with us, which may have a material and adverse effect on our business and results of operation. Some clients who have suffered substantial losses on Solomon JFZ’s platform may seek to recover their damages from us or bring lawsuits against us. These allegations against us, regardless of their veracity, may negatively affect our reputation and clients’ confidence with us. If we were to become the subject of any unfavorable allegations or lawsuits, whether such allegations are proven to be true or untrue and regardless of the outcome of the lawsuits, we may have to expend a significant amount of resources to investigate and/or defend itself, which could divert our management’s attention from the day-to-day operations. In addition, if any litigation or other legal proceeding to which we are a party is resolved adversely, we may be ordered to pay a substantial amount of damages or compensation to the other party,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regulatory capital requirements set by local regulatory authorities could materially and negatively affect our business operation and overall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our major operating subsidiary in Hong Kong, is subject to various regulatory capital requirements, including minimum capital requirements, capital ratios and buffers established by competent authorities in their respective jurisdiction. Failure to meet minimum capital requirements can initiate certain mandatory, and possibly additional discretionary actions by regulators that, if undertaken, could have a direct material effect on our business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Solomon JFZ is in compliance with its respective regulatory capital requirements. However, if Solomon JFZ fails to remain well-capitalized for regulatory purposes, CIMA and HKSFC may take actions against it and its business operation, and we may face penalties, including limitations and prohibitions on our business activities or suspension or revocation of our licenses and trading rights. This could affect client confidence, our ability to grow, our costs of funds and professional insurance costs, our ability to pay dividends on Ordinary Shares, our ability to make acquisitions, and in turn,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risk management policies and procedures may not be adequate and effective, which may expose us to unidentified or unexpected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expose us to various risks, including regulatory environment risk, market condition risk, credit risk, liquidity risk, capital adequacy risk and operational risk. We are dependent on our risk management policies and procedures and adherence to our Internal Control and Compliance Manual as well as the latest regulatory policies and procedures by our staff to manage the risks inherent in our business. Nonetheless, our policies and procedures to identify, monitor and manage risks may not be fully effective in mitigating our risk exposure in all market environments or against all types of risks. Some of our methods for managing risks are discretionary by nature and are based on internally developed controls and observed historical market behavior, and also involve reliance on standard industry practices. Many of our risk management policies are based upon observed historical market behavior or statistics based on historical models. During periods of market volatility or due to unforeseen events, the historically derived correlations upon which these methods are based may not be valid. As a result, these methods may not predict future exposures accurately, which could be significantly greater than what our models indicate. This could cause us to incur losses or cause our risk management strategies to be ineffective.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fail to update our risk management system as needed or as fast as the industry evolves, which may weaken our ability to identify, monitor and control new risks. Other risk management methods depend upon the evaluation of information regarding markets, clients, catastrophe occurrence or other matters that are publicly available or otherwise accessible to us, which may not always be accurate, complete, up-to-date or properly evaluated. These may adversely affect our results of operations and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HK Subsidiaries is Hong Kong dollars. However, the financial statements we provided to you and filed with the SEC are presented in U.S. dollars. Our assets and liabilities denominated in foreign currencies are translated at year-end rates of exchange, whereas the income statement accounts are translated at average rates of exchange for the year. Any such translation may result in gains or losses, which are recorded under other comprehensive income (loss) in the financial statements. Changes in the exchange rates between the Hong Kong dollars or other currencies to the U.S. dollars could have a material effect on our results of operations. The value of Hong Kong dollars against U.S. dollars and other currencies is affected by a variety of factors which are beyond our control, including, among other things, changes in Hong Kong’s or China’s political and economic conditions. Changes in the conversion rate between the U.S. dollar and the Hong Kong dollar will affect that amount of proceeds we will have available for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1983, Hong Kong dollars have been pegged to the U.S. dollars at the rate of approximately HK$7.80 to $1.00. We cannot assure you that this policy will not be changed in the future. If the pegging system collapses and Hong Kong dollars suffer devaluation, the Hong Kong dollar cost of our expenditures denominated in foreign currency may increase. This would in turn adversely affect the operations and profitability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or the reputation of our industry as a whole,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reputation of our brand is critical to our business and competitiveness. If we fail, or are perceived to have failed, to deal with issues that may give rise to reputational risk, our business and prospects may be harmed. Such issues may include mishandling client complaints, potential conflicts of interest, privacy breaches, client data leak, improper sales practices, as well as failures to identify legal, credit, liquidity, and market risks inherent in our business. Failure to appropriately address these issues could reduce clients’ confidence in us or increase client attrition rate, which may adversely affect our reputation and business. In addition, any malicious or negative allegation made by the media or other parties about the foregoing or other aspects of us, including our management, business, compliance with law, financial condition or prospects, whether with merit or not, could severely compromise our reputation and harm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about the securities brokerage industry in general may also have a negative impact on our reputation, regardless of whether we have engaged in any inappropriate activities. Moreover, negative publicity about our partners, service providers or other counterparties, such as negative publicity about their client complaints and any failure by them to adequately protect the information of our investors and borrowers, to comply with applicable laws and regulations or to otherwise meet required quality and service standards could harm our reputation. If any of the foregoing takes place, our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had incurred net losses in the past, and we may incur losses again in the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net income of $1.35 million in the fiscal year ended March 31, 2023. However, we had a net loss of $4.56 million and $0.98 million in the fiscal years ended March 31, 2024 and 2022, respectively. We cannot assure you that we will be able to generate net income in the future. We anticipate that our operating costs and expenses will increase in the foreseeable future as we continue to grow our business, attract new clients, enhance our risk management capabilities and increase our brand recognition. These efforts may prove more costly than we currently anticipate, and we may not succeed in increasing our revenue sufficiently to offset these higher expenses. There are other external and internal factors that could negatively affect our financial condition. For example, the trading volume achieved on Solomon JFZ’s platform may be lower than expected, which may lead to lower than expected revenues. Furthermore, we may adopt a new share incentive plan in the future, which will result in significant share based compensations to us. We generated approximately 1%, 2% and 57%, of our total revenues from securities related services charged to our clients who trade on our platform in fiscal years ended March 31, 2024, 2023 and 2022, respectively. Any material decrease in our commissions would have a substantial impact on our financial conditions. As a result of the foregoing and other factors, we may continue to incur net losses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number of external service providers for technology, processing and supporting functions, and if they fail to provide these services, it could adversely affect our business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a number of external service providers in providing services to our clients for technology, processing and supporting functions, including, other market makers to which we pass on certain orders, referring brokers we collaborate with for client acquisition, custody banks, securities exchanges, clearing agents and online payment service providers. Furthermore, external content providers provide us with financial information, market news, charts, option and stock quotes and other fundamental data that we offer to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service providers face technical, operational and security risks of their own. Any significant failures by them, including improper use or disclosure of their confidential client, employee or company information, deterioration in their performance, interruption in these third-party services or software, or other improper operation could interfere with our trading activities, cause losses due to erroneous or delayed responses, harm our reputation or otherwise be disruptive to our business. For instance, when there is a sudden surge in trading volume caused by a large amount of concurrent orders, usually subsequent to a major social event, we may not be able to retrieve the real-time quote due to delays or interruptions of third party systems, which may cause a delay in the exercise of automatic settlements initiated by our risk management system. Such delays may result in negative balance in our clients’ account and a potential loss to it. Also, we have contracted with external payment service providers to facilitate our clients’ payment procedures for trading and transactions through our platform. Any failure by these service providers to continue with good business operations, comply with applicable laws and regulations or any negative publicity on these parties could damage our reputation, expose us to significant penalties and decrease our total revenues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if our arrangements with any of these external service providers are terminated, we may not be able to find an alternative source to support us on a timely basis or on commercially reasonable terms. This could also have a material adverse effect on our business, financial condition and results of operations. For instance, Solomon JFZ’s online trading business is conducted through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platform, which is licensed from third-party Hundsun Ayers Technologies Limited (“Hundsun Ayers”) and can be easily accessed via our app, software, and websites. The platform offers clients seamless, efficient, and secure access to comprehensive brokerage and value-added services such as trade execution, account management, and customer support. The license is renewed annually, and we may change providers based on cost, technical support, and customization needs. However, if we are unable to continue obtaining licenses from Hundsun Ayers, it would take us several months to launch a new platform that meets our user experience needs. In addition, Solomon JFZ conducts the securities trading management and settlement services through Hundsun UFG 3.0 system, which was supported by third party Hundsun Ayers. The system has been customized for our use and provides client account management and trade settlement services. Due to Hundsun Ayers’ leading position with over 50% market share in one-stop trading solutions, we have limited options for changing service providers. Furthermore, our KYC procedures are performed through the World-Check One screening system, supported by Refinitiv, a leading provider of financial market data and infrastructure. Solomon JFZ uses World-Check One for essential screening during account opening and ongoing risk monitoring, which supports its due diligence efforts against financial crime, bribery, and corruption. However, if World-Check One’s service becomes unavailable, our compliance efficiency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failure in our information technology, or IT, systems could cause interruptions in our services, undermine the responsiveness of our services, disrupt our business, damage our reputation and cause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IT systems support all phases of our operations. If our systems fail to perform, we could experience disruptions in operations, slower response time or decreased client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unexpected interruptions to the internet infrastructure, technological failures, changes to our systems, changes in client usage patterns, linkages with third-party systems and power failures. Our systems are also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our key business partners and vendors, and other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could take an extended period of time to restore full functionality to our IT systems or other operating systems in the event of an unforeseen occurrence, which could affect our ability to process and settle client transactions. Moreover, instances of fraud or other misconduct might also negatively impact our reputation and client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devote substantial attention and resources to the reliability, capacity and scalability of our systems, extraordinary trading volume could cause our computer systems to operate at unacceptably slow speeds or even fail, affecting our ability to process client transactions and potentially resulting in some clients’ orders being executed at prices they did not anticipate. Disruptions in service and slower system response time could result in substantial losses and decreased client satisfaction. We are also dependent on the integrity and performance of securities exchanges, clearinghouses and other intermediaries to which client orders are routed for execution and clearing. System failures and constraints and transaction errors at such intermediaries could result in delays and erroneous or unanticipated execution prices, cause substantial losses for our clients and for ourselves, and subject us to claims from our clients for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a disaster recovery and business continuity plan, which is intended to minimize service interruptions and secure data integrity, however, our plan may not work effectively during an emergency. IT system failures may lead to interruption of our operations, which in turn will prevent our clients from trading and hence significantly reduce client satisfaction and confidence in us, cause loss or reduce potential gain for our clients, or cause regulatory authorities’ investigation and penalization. Any such system failure could impair our reputation, damage our brand, subject us to claims and materially and adversely affect our business, financial condition, operating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third-party systems upon which we rely could adversely affect our business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rapid pace of technological changes in online securities brokerage industry, as described above parts of our business rely on technologies developed or licensed by third parties, for example, Solomon JFZ conducts securities related and online trading business through a trading platform licensed from third parties. Any interruption in the third parties’ services, or deterioration in the third parties’ performance or quality could adversely affect Solomon JFZ’s business operation. Moreover, Solomon JFZ may not be able to obtain or continue to obtain licenses and technologies from these third parties on reasonable terms, or at all, which could materially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cyber-attacks, computer viruses, physical or electronic break-ins or similar disruptions on us our external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JFZ’s platform collects, stores and processes certain personal and other sensitive data from our users. The massive data that we have processed and stored makes us or external service providers who host our servers a target and potentially vulnerable to cyber-attacks, computer viruses, physical or electronic break-ins or similar disruptions. While we have taken steps to protect the confidential information that we have access to, our security measures could be breached.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information to be stolen and used for criminal purposes. As personally identifiable and other confidential information is increasingly subject to legislation and regulation in numerous jurisdictions, any inability to protect confidential information of our clients could result in additional cost and liability for us, damage our reputation, inhibit the use of our platform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indirect technology, cybersecurity and operational risks relating to the third parties whom we work with to facilitate or enable our business activities. As a result of increasing consolidation and interdependence of technology systems, a technology failure, cyber-attack or other information or security breach that significantly compromises the systems of one entity could have a material impact on our counterparties. Any cyber-attack, computer virus, physical or electronic break-ins or similar disruptions of such third-party service providers could, among other things, adversely affect our ability to serve our users, and could even result in the misappropriation of funds of our investors and borrowers. If that were to occur, both we and third-party service providers could be held liable to clients who suffer losses from the misappropriation.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or unauthorized access to confidential information could also expose us to risk relating to misappropriation of funds of our clients, which may subject us to liabilities, reduce the attractiveness of our marketplace and cause reputational harm and adversely impact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invest significantly in research and development, and to the extent our research and development investments are not directed efficiently or do not result in material enhancements to our technology competencies, our business and results of operations would be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element of our strategy is to invest significantly in our research and development efforts to enhance the features, functionality, performance, security, availability and ease of use of Solomon JFZ’s platform and software offerings to address additional applications and use cases that will broaden the appeal of Solomon JFZ’s platform and facilitate the broad use of its platform across customers with digital transformation needs. If we do not spend our research and development budget efficiently or effectively on compelling enhancements, innovations and technologies, our business may be harmed, and we may not realize the expected benefits of our strategy at all or on the timeline we expect. We will need to appropriately deploy our human resources and may need to hire new employees with highly technical skills, or we may not be able to effectively execute on our research and development strategy. Moreover, research and development projects can be technically challenging and expensive. As a result of the nature of research and development cycles, there will be delays between the time we incur expenses associated with research and development activities and the time we are able to offer compelling enhancements to Solomon JFZ’s platform and software offerings and generate revenue, if any, from those activities. Additionally, anticipated customer demand for a platform or application enhancement we are developing could decrease after the development cycle has commenced. If we expend a significant amount of resources on research and development efforts that do not lead to the successful introduction of functionality or platform improvements that are competitive in our current or future markets, our business and results of operations will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potential conflicts of interest from time to time, and the failure to identify and address such conflicts of interest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possibility of actual, potential, or perceived conflicts of interest in the ordinary course of our business operations. Conflicts of interest may exist between (i) our different businesses; (ii) us and our clients; (iii) our clients; (iv) us and our employees; and (v) our clients and our employees. As we expand the scope of our business and client base, it is critical for us to be able to timely address potential conflicts of interest, including situations where two or more interests within our businesses naturally exist but are in competition or conflict. However, appropriately identifying and managing actual, potential, or perceived conflicts of interest is complex and difficult, and our reputation and our clients’ confidence in us could be damaged if we fail, or appears to fail, to deals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a number of ways, including a reluctance of some potential clients and counterparties to do business with us. Any of the foregoing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derived a substantial portion of revenue from a small number of key clients.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derived a substantial portion of our revenue from a small number of key clients. We had a concentration of revenues of 92%, 78% and 84% from the top five customers for the years ended March 31, 2024,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the number of customers due to our reliable and secure trading platform, comprehensive brokerage and value-added services and superior user experience. From the fiscal year 2022 to the fiscal year 2024, our client base increased at a CAGR of 0.4% from approximately 15,300 to 15,500. As of March 31, 2024, we had more than 15,500 clients who had opened trading accounts with us and over 1,200 active clients who were registered and had assets in their trading accounts. However, a fast increase in client base did not immediately result in revenue growth due to poor equity market performance in Hong Kong and a lack of attractive IPOs in the Hong Kong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was initially primarily derived from securities-related services which is typically highly correlated with the size of the client base. We successfully diversified our revenue sources during fiscal years 2024 and 2023. Our significant growth in revenue, at a CAGR of 15%, from the fiscal year 2022 to the fiscal year 2024, was mainly attributable to our revenue diversification strategy by adding investment advisory services, corporate consultancy services and asset management services. In the fiscal year ended March 31, 2024, our top five customers represented approximately 29%, 26%, 19%, 12% and 6% of the total revenue, respectively, which consisted of one from the securities brokerage segment, three from the investment advisory service segment, and one from the asset management service segment. In the fiscal year ended March 31, 2023, our top five customers represented approximately 30%, 13%, 13%, 11% and 11% of the total revenue, respectively, which consisted of one from the securities brokerage segment, three from the investment advisory service segment, and one from the corporate consultancy service segment. In the fiscal year ended March 31, 2022, our top five customers represented approximately 51%, 17%, 10%, 3% and 3% of the total revenue, respectively, which consisted of two from securities brokerage, two from investment advisory service, and one from asset management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risks whenever a large percentage of revenues are concentrated in a limited number of clients. It is not possible for us to predict the future level of demand for our services that will be generated by these key clients. In addition, revenues from our larger clients have historically fluctuated and may continue to fluctuate based on their trading volume. If these key clients trade less frequently on our platform or suspend or terminate their relationship with us, our business and results of operation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implement new business lines, or introduce new products and services to our clients, or we may fail to successfully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dependent upon on our ability to implement new business lines and offer new products and services, to better respond to market changes and clients’ evolving needs. There are substantial risks and uncertainties associated with these efforts, particularly in instances where the markets are not fully developed. We may invest significant time and resources in developing and marketing new lines of business and/or new products and services. Initial timetables for the introduction and development of new lines of business and/or new products or services may not be achieved and price and profitability targets may not prove feasible. External factors, such as compliance with regulations, competitive alternatives and shifting market preferences, may also impact the successful implementation of a new line of business or a new product or service. In addition, new service offerings may not be accepted by the market or be as profitable as we expect. Furthermore, any new line of business and/or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strategy to expand business operation and enter into new markets may subject us to additional risks. As we enter into markets that are new to us, we must tailor our services and business model to the unique circumstances of such countries and markets, which can be complex, difficult, costly and divert management and personnel resources. In addition, we may face competition in other countries from companies that may have more experience with operations in such countries or with global operations in general. To continue to expand our services internationally, we may have to comply with the regulatory controls of each country in which we conduct or intend to conduct business, the requirements of which may not be clearly defined. Even if we expand our businesses into new jurisdictions or areas, the expansion may not yield intended profitable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Fraud, misconduct or errors by our directors, officers, employees, agents and other third-party service providers could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always possible to identify and deter fraud, misconduct or errors by directors, employees, agents or external service providers, and the precautions we take to detect and prevent this activity may not be effective in controlling unknown or unmanaged risks or losses. Fraud or misconduct by any of these persons or entities may cause us to suffer significant reputational harm and financial loss or result in regulatory disciplinary actions. The potential harm to our reputation and to our business caused by such fraud or misconduct is impossible to quantify.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obligations and standards arising from our business. The violation of these obligations and standards by any of our directors, officers, employees, agents, clients, or other third parties could materially and adversely affect us and our investors. For example, we are required to properly handle confidential information. If our directors, officers, employees, agents, clients, or other third parties were to improperly use or disclose confidential information, we could suffer serious harm to our reputation, financial position, and existing and future business relationships. Although we have not identified any material fraud or misconduct by our directors, officers, employees, agents, clients, or other third parties since Solomon JFZ commenced its current business in 2016, if any of these persons or entities were to engage in fraud or misconduct or were to be accused of such fraud or misconduct, our business and reputation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decrease in our liquidity could negatively affect our business and financial management as well as reduce client confidence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adequate liquidity is crucial to our business operations. We are subject to liquidity and capital adequacy requirements in Hong Kong, China and Cayman Islands. We meet our liquidity needs primarily through cash generated by operating activities and capital contribution, as well as cash provided by external financing. Fluctuations in client cash or deposit balances, as well as changes in regulatory treatment of client deposits or market conditions, may affect our ability to meet our liquidity needs. A reduction in our liquidity position could reduce our clients’ confidence, which could result in the loss of client trading accounts or cause us to fail to satisfy liquidity requirements of regulatory authorities. In addition, failure to meet regulatory capital guidelines can result in investigations and regulatory actions, which may lead to penalties, including reprimands, fines, limitations or prohibitions on our future business activities or suspension or revocation of our licenses or trading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satisfy our liquidity and capital needs may be affected by a variety of factors, some of which are beyond our control, including, macroeconomic and socio-political conditions, fluctuations in cash or deposit balances, increased capital requirements, changes in regulatory guidance or interpretations, or other regulatory changes. If cash generated by client trading activities and operating earnings is not sufficient for our liquidity needs, we may be forced to seek external financing. During periods of disruptions in the credit and capital markets, potential sources of external financing could be reduced, and borrowing costs could increase. Financing may not be available on acceptable terms, or at all, due to market conditions or disruptions in the credit markets. If we experience any significant decrease in our liquidity, our business, financial condition and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promoting and sustaining our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developing and maintaining awareness of our brand effectively is critical to attracting new and retaining existing clients to our platform. This depends largely on the effectiveness of our marketing efforts and the success of the channels we use to promote our marketplace. If any of our current marketing channels become less effective, if we are unable to continue to use any of these channels, if the cost of using these channels were to significantly increase or if we are not successful in generating new channels, we may not be able to attract new investors and borrowers in a cost-effective manner or convert potential investors and borrowers into active investors and borrowers on our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build our brand may not result in increased revenues in the immediate future or at all and, even if they do, any increases in revenues may not offset the expenses incurred. If we fail to successfully promote and maintain our brand while incurring substantial expenses, our results of operations and financial condition would be adversely affected, which may impair our ability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our know-your-customer, or KYC procedures when our clients provide outdated, inaccurate, false or misleading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client information during the account opening and during registration for members and we screen accounts against public databases and collaborate with external know-your-customer (KYC)/ anti-money laundering (AML) vendors for the purpose of verifying client identity and detecting risks. Although we require our clients to submit documents for proof of their identity and address for completing the account registration and to update such information from time to time, we face risks as the information provided by our clients may be outdated, inaccurate, false or misleading. We cannot fully confirm the accuracy, currency and completeness of such information beyond reasonable effort. For example, to reduce the risk of being subject to complex U.S. laws and regulations, we do not allow U.S. citizens or residents to open an account with us. We require our potential clients to provide their passports or identity cards as well as self declaration about the foreign status of beneficial owner, we have licensed personnel review the applications and resolve KYC results before approving for account opening. However, if a potential client only provides his PRC identity card, which is usually valid for 10 years or more, and misinforms us that he does not also possess a U.S. passport or permanent resident card, we might not be able to detect such misinformation. In addition, as a client who is not a U.S. citizen or resident at the time of account registration may later obtain U.S. citizenship or residential status and fail to update us in a timely manner, our customer database might not be entirely accurate at all times. Despite our efforts to exclude persons who reside in jurisdictions where we have no license or permit such as the United States, our provision of products and services to such clients could be in violation of the applicable laws and regulations in those jurisdictions, of which we may have no awareness until we are warned by the relevant supervising authorities. Despite our safeguards, we could still be subject to certain legal or regulatory sanctions, fines or penalties, financial loss, or damage to reputation resulting from such violations. In particular, following the consummation of the Business Combination, as we become increasingly renowned in the United States and worldwide, there is no assurance that we will be able to successfully identify and exclude all persons who resides in jurisdictions where we have no license or permit to operate, including the United States. If U.S. citizens and residents were to register on and begin using our platform, we may be subject to the scrutiny of U.S. regulatory agencies and required to comply with applicable laws and regulations in the United States, including the requirements to obtain relevant licenses and permits for providing our products to U.S. citizens and residents. We currently do not intend to apply for such licenses and permits in the United States, and if we determine to do so, there is no guarantee that we will successfully obtain such licenses in a timely fashion, or at all. We could be subject to disciplinary or other actions by the U.S. regulatory agencies due to claimed noncompliance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clients may engage in fraudulent or illegal activities on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stringent internal control policies, insider trading, anti-money laundering and other anti-fraud rules and mechanisms on our platform, for example, we cooperated with third party search system service provider to check if our clients are politically exposed persons or on certain sanction lists (including but not limited to the lists of money laundering, terrorist financing or other crimes). Nevertheless, we remain subject to the risk of fraudulent or illegal activities both on our platform and associated with our clients, funding and other business partners, and third parties handling client information. Our resources, technologies and fraud detection tools may be insufficient to accurately detect and prevent fraudulent or illegal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misbehavior of or violation by our clients of applicable laws and regulations could lead to regulatory inquiries and investigations that involve it, which may affect our business operation and prospects. We might also incur higher costs than expected in order to take additional steps to reduce risks related to fraudulent and illegal activities. High-profile fraudulent or illegal activities, for example, money laundering, insider trading and securities fraud, could also lead to regulatory intervention, and may divert our management’s attention and cause us to incur additional regulatory and litigation expenses and costs. Although our client agreements require clients to acknowledge that they will observe all insider trading, money laundering and securities fraud laws and regulations in applicable jurisdictions and to assume liabilities for all restrictions, penalties and other responsibilities arising from conducts suspected to constitute insider trading, money laundering and/or, securities fraud, we cannot verify whether every transaction conducted by our clients is in compliance with such laws and regulations because our clients may circumvent our due diligence measures to commit insider trading and/or money laundering. Significant increases in fraudulent or illegal activities could negatively impact our brand and reputation, reduce the trading volume on our platform and therefore harm our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also suffer serious harm to our reputation, financial condition, client relationships and even be subject to regulatory sanctions and significant legal liability, if any of our employees engage in illegal or suspicious activities or other misconduct. Although we have not experienced any material business or reputational harm as a result of fraudulent or illegal activities in the past, we cannot rule out the possibility that any of the foregoing may occur, causing harm to our business or reputation in the future. If any of the foregoing were to occur, our results of operations and financial conditions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Legislative and regulatory changes may adversely affect the use, transfer, exchange and value of virtual assets.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Residents, tax residents or persons having a relevant connection with certain jurisdictions are excluded from carrying out virtual asset transactions in Hong Kong. Changes in the investor’s place of domicile or the applicable laws may result in the investor violating any legal or regulatory requirements of the applicable jurisdiction with respect to virtual assets. The investor is responsible for ensuring that any virtual assets transaction is, and remains lawful despite changes to applicable laws, the investor’s place of domicile and circumstances.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related to virtual assets such as virtual asset ETFs may be overseen by the legal and regulatory authorities of a number of jurisdictions globally. We may receive notices, queries, warnings, requests or rulings from one or more authorities upon short notice, or may even be ordered to suspend or terminate any action in connection with any virtual asset related securities as a whole without prior notice. Furthermore, many aspects of virtual asset related securities involve untested areas of law and regulation and could be subject to new laws or regulations. Therefore, their legal and regulatory outcome in all relevant jurisdictions is not possible to predict. The planning, development, marketing, promotion, execution or otherwise of the virtual assets may be seriously affected, hindered, postponed or terminated as a result of such new laws and/or regulations. Since regulatory policies can change with or without prior notice, any existing regulatory permissions for or tolerance of virtual assets in any jurisdiction may be withdrawn without warning. Cryptographic-tokens and cryptocurrencies could be deemed from time to time as a commodity or virtual commodity, a digital asset or even as money, securities or currency in various jurisdictions and therefore virtual asset related securities could be prohibited from being purchased, traded or held in certain jurisdictions pursuant to local regulations. In turn, the virtual assets could be deemed to be a regulated or restricted product. There is no guarantee that virtual assets can maintain any particular legal or regulatory status in any particular jurisdiction at any time.  Changes in regulatory circumstances may impact our ability to provide virtual assets trading or advisory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nature of virtual assets exposes us to an increased risk of fraud or cyberattack.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Attempts to steal virtual assets on Solomon JFZ’s trading platform may occur due to the inherent nature of virtual assets, which exposes customers to an increased risk of fraud or cyberattack. Virtual assets, investor accounts, custodian exchange services, and our system may be targeted by malicious actors who may attempt to steal virtual assets or fiat currency, or otherwise intervene in a virtual asset transaction or any service provided by the Company.  These threats include, without limitation, distributed denial of service, cyberattacks, phishing, social engineering, hacking, smurfing, malware, double spending, majority-mining, consensus-based or other mining attacks, misinformation campaigns, forking and spoofing.  Such events can adversely affect our operations, preventing us from providing services, and potentially result in regulatory investigations. Under new Item 106 of Regulation S-K, we are required to promptly report material cybersecurity incidents. If we suffer a significant cybersecurity breach, the market price of our Ordinary Shares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Malicious entities may also target the investor directly in an attempt to steal any asset held by the investor, or to claim any asset that the investor may have purchased. This may involve unauthorized access to accounts with us, private keys, addresses, passwords, email or social media accounts, log-in details or devices such as computers and smartphones used by the investor. Even if the loss of virtual assets is due to investor error, dissatisfaction with our services may arise, adversely affecting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adequate sources of recovery if the virtual assets held by us are lost, stolen or destroyed due to third-party virtual assets custodial services or if we cannot redeem or withdraw our virtual assets invested in crypto lending or investing activities. Such incidents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provides trading of various virtual assets trading in the regulated digital assets trading exchanges, including Bitcoin, Ethereum, Bitcoin spot ETF and Ethereum spot ETF, supporting in kind subscription of virtual assets spot ETF. Substantially all of our virtual assets were held in custody on Solomon VA+, licensed from third-party Hundsun Ayers. We believe that the security procedures that Hundsun Ayers utilizes, such as issuing username, password and hardware tokens, are reasonably designed to safeguard Bitcoin, Ethereum, Bitcoin spot ETF and Ethereum spot ETF and other virtual assets from theft, loss, destruction or other issues relating to hackers and technological attack. Nevertheless, the security procedures cannot guarantee the prevention of any loss due to a security breach, software defect or act of God that may be borne by us. If such virtual assets are lost, stolen or destroyed under circumstances rendering a third party liable to us, it is possible that Hundsun Ayers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virtual assets. To the extent that we are unable to recover on any of our claims against any such third party, such loss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in Hong Kong.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business depends on the continued efforts of our senior managements, Mr. Shing Tak Tam, Ms. Lili Liu, Mr. Tze Bun Cheng and Mr. Pong Ming Ting. If one or more of our key executives were unable or unwilling to continue in their present positions, our business may be severely disrupted.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depend on the continued services of our senior management. While we provide a variety of attractive incentives to our management, we cannot assure you that we can continue to retain their services. We cannot assure you that our existing senior management members will not terminate their employment with us in the future. In addition, we do not have any key man insurance for our executive officers or key employees. If one or more of our key executives were unable or unwilling to continue in their present positions, we may not be able to replace them easily or at all, our future growth may be constrained, our business may be severely disrupted and our financial condition and results of operations may be materially and adversely affected, and we may incur additional expenses to recruit, train and retain qualified personnel. In addition, there is no assurance that any member of our management team will not join one of our competitors or form a competing business. If any dispute arises between us and our current or former officers, we may have to incur substantial costs and expenses in order to enforce such agreements in China or we may be unable to enforce them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User growth and activity on mobile devices depend upon effective use of mobile operating system, networks and standards, over which we do not have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 majority of our clients access our services through PC, however, we expect to see a growing number of our clients access our services through our mobile apps in the future. As new mobile devices and platforms are released, it is difficult to predict the problems we may encounter in developing applications for these new devices and platforms, and we may need to devote significant resources to the development, support and maintenance of such applications. In April 2021, Solomon JFZ launched its newly developed all-in-one Solomon app. There are substantial uncertainties associated with the newly launched app, including compatibility with mobile operating systems, and we cannot assure you we could operate successfully or as we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growth and our results of operations could suffer if we experience difficulties in the future in integrating our services into mobile devices or if problems arise with our relationships with providers of mobile operating systems or mobile app stores, or if we face increased costs to distribute or have users utilize our services on mobile devices. We are further dependent on the interoperability of providing our services on popular mobile operating systems that we do not control, such as iOS, Android and PC platform, and any changes in such systems that degrade the accessibility of our services or give preferential treatment to competing products could adversely affect the usability of our services on mobile devices. In the event that it is more difficult for our users to access and utilize our services on their mobile devices, or if our users choose not to access or utilize our services on their mobile devices or to use mobile operating systems that do not offer access to our services, our user growth could be harmed and our business, financial condition and operating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harm our business and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often difficult to maintain and enforce intellectual property rights.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infringement claims, which may be expensive to defend and may disrupt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Hong Kong, PRC, the Cayman Islands, the United States or other jurisdictions. If any third-party infringement claims are brought against us, we may be forced to divert management’s time and other resources from our business and operations to defend against these claims, regardless of their merits.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 business liability or disruption insurance, which could expose us to significant costs and business disruption.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industry in Hong Kong is still at an early stage of development, and insurance companies in China currently offer limited business-related insurance products. We do not have any business liability or disruption insurance to cover our HK Subsidiaries’ business operations. We have determined that the costs of insuring for these risks and the difficulties associated with acquiring such insurance on commercially reasonable terms make it impractical for us to have such insurance. Any uninsured risks may result in substantial costs and the diversion of resources, which could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r>
        <w:rPr>
          <w:smallCaps/>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and it relies on dividends and other distributions on equity paid by its subsidiaries for Solowin’s cash and financing requirements, including the funds necessary to pay dividends and other cash distributions to its shareholders and service any debt it may incur. While Solowin does not expect to pay cash dividends in the foreseeable future, if any of its subsidiaries incurs debt on their own behalf in the future, the instruments governing the debt may restrict such subsidiary’s ability to pay dividends or make other distributions to Solowin.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 of the Cayman Islands permits, subject to a solvency test and the provisions, if any, of the Company’s Amended and Restated Memorandum and Articles of Association,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 the future, funds may not be available to fund operations or for other use outside of Hong Kong, due to interventions in, or the imposition of restrictions and limitations on, our ability or on our subsidiaries’ ability by the PRC government to transfer cash. Any limitation on the ability of our HK Subsidiaries to pay dividends or make other distributions to us could materially and adversely limit our ability to grow, make investments or acquisitions that could be beneficial to our business, pay dividends, or otherwise fund and conduct our business. In addition, if any of our HK subsidiaries incur debt on its own behalf in the future, the instruments governing such debt may restrict their ability to pay dividends.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substantially increased costs as a result of being a public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significant legal, accounting, and other expenses as a public company that we did not incur as a private company. The Sarbanes-Oxley Act of 2002, as well as rules subsequently implemented by the SEC and Nasdaq, impose various requirements on the corporate governance practices of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rules and regulations increases our legal and financial compliance costs and makes some corporate activities more time-consuming and costlier. In addition, we will incur additional costs associated with our public company reporting requirements. It may also be more difficult for us to find qualified persons to serve on our board of directors or as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which means the market value of the Ordinary Shares that is held by non-affiliates exceeds $700 million as of the prior September 30, and (2) the date on which we have issued more than $1.0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are no longer an “emerging growth company,” or until five years following the completion of our initial public offering, whichever is earlier, we expect to incur significant additional expenses and devote substantial management effort toward ensuring compliance with the requirements of Section 404 and the other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resurgence of the COVID-19 pandemic could have a material adverse impact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outbreak led governments across the globe to impose a series of measures intended to contain its spread, including border closures, travel bans, quarantine measures, social distancing, and restrictions on business operations and large gatherings. The outbreak of COVID-19 caused companies like us and our business partners to implement temporary adjustments to work schedules and travel plans, mandating employees to work from home and collaborate remotely. As a result, we may have experienced lower efficiency and productivity, internally and externally, which may adversely affect our service quality. Moreover, our business depends on our employees. If any of our employees has contracted or is suspected of having contracted COVID-19, these employees will be required to be quarantined and they could pass it to other of our employees, potentially resulting in severe disruption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results of operations were severely affected by the COVID-19 outbreak. Due to the instability of global financial markets and other economic and financial challenges brought about by COVID-19, our businesses and clients were adversely affected by travel restrictions preventing PRC residents from travelling to Hong Kong. More broadly, the COVID-19 outbreak slowed down the global economy and caused significant market volatility and declines in general economic activities. This may continue to dampen confidence in global markets and potential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IPO business, which consists of IPO handling fees and IPO subscription financing, was severely impacted by the decline of the Hong Kong IPO market activities during the outbreak of COVID-19. For the fiscal year ended March 31, 2024, revenue from securities brokerage commissions and handling income was $51,000, compared to $74,000 for the fiscal year ended March 31, 2023, representing a 31% decline. The main reason for this decrease was the drop in handling income from IPO subscriptions in Hong Kong, which was impacted by the COVID-19 pandemic and continuous uncertain economic conditions in Hong Kong continuously.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statistical data from HKEX, the number of IPOs in the Hong Kong stock market has decreased continuously for the past 3 years, reaching 73 in 2023 compared to 90 in 2022 and 98 in 2021. The consistent decline also adversely affected investor confidence. In terms of fundraising, the total amount raised in the Hong Kong IPO market in 2023 was HK$46.32 billion, down 55.7% from HK$104.57 billion in 2022. The COVID-19 outbreak made it challenging for clients to open accounts and slowed our active client effective rate. Our active client effective rates for periods during the fiscal years ended March 31, 2022, 2023 and 2024, which rates are accounted by active client/account opening client, were 53%, 66%, 28%,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restrictive measures previously adopted by the Hong Kong and mainland Chinese governments at various levels to control the spread of the COVID-19 virus have been revoked or replaced with more flexible measures since December 2022. As a result, we have gradually resumed normal operations since January 2023. We have recorded a total revenue of $4,291,000 for the fiscal year ended March 31, 2024, compared to $4,453,000 for the year ended March 31, 2023, a slightly decrease of $162,000, or 4%. However, the extent to which the COVID-19 pandemic may continue to impact our results will depend on future developments, which are highly uncertain and cannot be certain, including the effectiveness of vaccines and other treatments for COVID-19, and other new information that may emerge concerning the severity of the pandemic and steps taken to contain the pandemic or treat its impact, among others. Given the general slowdown in economic conditions globally, volatility in the capital markets as well as the general negative impact of the COVID-19 outbreak on the corporate finance markets, we cannot assure you that we will be able to maintain the growth rate we have experienced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Doing Business in Jurisdictions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our operations are in Hong Kong. However, the legal and operational risks associated with operations in China may also apply to our operations in Hong Kong. The Chinese government may exercise significant oversight and control over the conduct of our business and may intervene in or influence our operations at any time, which could result in a material change in our operations and may significantly limit or completely hinder our ability to offer or continue to offer Ordinary Shares to investors and cause the value of the Ordinary Shares to significantly decline or be worthless. Changes in the policies, regulations, rules, and the enforcement of laws of the Chinese government may also be quick with little advance notice and our assertions and beliefs of the risk imposed by the PRC legal and regulatory system cannot be 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and we conduct our operation primarily through our operating subsidiaries in Hong Kong. Solomon JFZ’s operations are primarily located in Hong Kong and most of our clients are residing in PRC, New Zealand, and Australia. Hong Kong is a Special Administrative Region of the PRC. The laws previously enacted in Hong Kong, that is, the common law, rules of equity, ordinances, subordinate legislation and customary law are maintained. As at the date of this prospectus, we are not materially affected by recent statements by the Chinese Government indicating an extent to exert more oversight and control over offerings that are conducted overseas and/or foreign investment in China-based issuers. However, the legal and operational risks associated with operations in China may also apply to our operations in Hong Kong, should recent statements and regulatory actions by China’s government apply to us in the future. Due to long arm provisions under the current PRC laws and regulations, there remains regulatory uncertainty with respect to the implementation and interpretation of laws in China. The PRC government may choose to exercise significant oversight and discretion, and the policies, regulations, rules, and the enforcement of laws of the Chinese government to which we are subject may change rapidly and with little advance notice to us or our shareholders. As a result, the application, interpretation, and enforcement of new and existing laws and regulations in the PRC and our assertions and beliefs of the risk imposed by the PRC legal and regulatory system are often uncertain. In addition, these laws and regulations may be interpreted and applied inconsistently by different agencies or authorities, and inconsistently with our current policies and practices. New laws, regulations, and other government directives in the PRC may also be costly to comply with, and such compliance or any associated inquiries or investigations or any other government actions may:</w:t>
      </w:r>
    </w:p>
    <w:p>
      <w:pPr>
        <w:pStyle w:val="TextBody"/>
        <w:bidi w:val="0"/>
        <w:spacing w:before="0" w:after="0"/>
        <w:ind w:left="0" w:right="0" w:hanging="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impede our development;</w:t>
            </w:r>
          </w:p>
        </w:tc>
      </w:tr>
    </w:tbl>
    <w:p>
      <w:pPr>
        <w:pStyle w:val="TextBody"/>
        <w:bidi w:val="0"/>
        <w:spacing w:before="0" w:after="0"/>
        <w:ind w:left="960" w:right="0" w:hanging="48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negative publicity or increase our operating costs;</w:t>
            </w:r>
          </w:p>
        </w:tc>
      </w:tr>
    </w:tbl>
    <w:p>
      <w:pPr>
        <w:pStyle w:val="TextBody"/>
        <w:bidi w:val="0"/>
        <w:spacing w:before="0" w:after="0"/>
        <w:ind w:left="960" w:right="0" w:hanging="48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significant management time and attention;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us to remedies, administrative penalties and even criminal liabilities that may harm our business, including fines assessed for our current or historical operations, or demands or orders that we modify or even cease our business practices.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aware that recently, the PRC government initiated a series of regulatory actions and statements to regulate business operations in certain areas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the ability to accept foreign investments and list on an U.S. or other foreign exchange. Specifically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 We believe that we are not subject to PRC cybersecurity review for the following reasons: (i) we do not hold critical information infrastructure; (ii) we believe our operations will not affect national security; (iii) we do not hold personal information of more than one million users. In addition, as of the date of this prospectus, we are not subject to the review or prior approval of the CAC nor the CSRC. We have not received any notice of and is not currently subject to any proceedings initiated by the CAC or any other PRC regulatory authority. However, since Solomon JFZ’s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is available to download in the app stores of China and most of our users are PRC citizens, which may subject us to certain laws and regulations in China. According to PRC regulations, the content provider engaged in disseminating analysis, forecasting, advisory of other information related to security needs to obtain the Securities Investment Consultancy Qualifications. Currently, we do not apply for any PRC license regarding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We believe that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does not need any PRC license for the following reasons: (i) we do not have any entity or subsidiary in the PRC; (ii) we conduct our business and operations primarily through our operating subsidiaries in Hong Kong. However, the PRC government has the ultimate authority to decide whether we have to get the licenses and we cannot assure that without any PRC license, we will not be subject to regulatory measures including warnings, public condemnation, suspension of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in the PRC and other measures. We can assure that we will follow any PRC government’s rule, regulation or instruction regarding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as soon as we were informed of the requirements. As such, we collect certain personal data from our customers in connection with our business and operations and we are subject to various regulatory requirements relating to the security and privacy of data in various jurisdictions. In addition, we may be subject to heightened regulatory scrutiny from PRC governmental authorities in the future. As there remains significant uncertainty in the interpretation and enforcement of the DSL and the PRC PIPL, we cannot assure you that we will comply with such regulations in all respects. In the event that (i) the PRC government expands the categories of industries and companies whose foreign securities offerings are subject to review by the CSRC or the CAC such that we are required to obtain such permissions or approvals; or (ii) we inadvertently concluded that relevant permissions or approvals were not required or that we did not receive or maintain relevant permissions or approvals required, any action taken by the PRC government could significantly limit or completely hinder our operations, significantly limit or completely hinder our ability to offer the Ordinary Shares to investors, and cause the value of such shares to significantly decline or become worthless. Any non-compliance with these laws and regulations may subject us to fines, orders to rectify or terminate any actions that are deemed illegal by regulatory authorities, other penalties, including but not limited to removal of our apps in China market, as well as reputational damage or legal proceedings against us, which may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enactment of Law of the PRC on Safeguarding the Hong Kong National Security Law could impact our Hong Kong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SCNPC adopted the Hong Kong National Security Law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former U.S. President Donald Trump signed the Hong Kong Autonomy Act (“HKAA”) into law, authorizing the U.S. administration to impose blocking sanctions against individuals and entities who are determined to have materially contributed to the erosion of Hong Kong’s autonomy. On August 7, 2020, the U.S. government imposed HKAA-authorized sanctions on 11 individuals, including then-HKSAR chief executive Carrie Lam and John Lee, who later replaced Carrie Lam as chief executive on July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President Biden warned investors about the risks of doing business in Hong Kong, issuing an advisory saying China’s push to exert more control over Hong Kong threatens the rule of law and endangers employees and data.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are targeted. It is difficult to predict the full impact of the Hong Kong National Security Law and HKAA on Hong Kong and companies located in Hong Kong. If we and our subsidiaries are determined to be in violation of the Hong Kong National Security Law or the HKAA by competent authorities, our business operations could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downturn in the Hong Kong, China or the global economy, and changes in economic and political policies of China, could materially and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financial condition and results of operations may be influenced to a significant degree by political, economic and social conditions in Hong Kong and China generally and by continued economic growth in Hong Kong and China as a whole. The Chinese economy differs from the economies of most developed countries in many respects, including the fact that it:</w:t>
      </w:r>
    </w:p>
    <w:p>
      <w:pPr>
        <w:pStyle w:val="TextBody"/>
        <w:bidi w:val="0"/>
        <w:spacing w:before="0" w:after="0"/>
        <w:ind w:left="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a high level of government involvement;</w:t>
            </w:r>
          </w:p>
        </w:tc>
      </w:tr>
    </w:tbl>
    <w:p>
      <w:pPr>
        <w:pStyle w:val="TextBody"/>
        <w:bidi w:val="0"/>
        <w:spacing w:before="0" w:after="0"/>
        <w:ind w:left="720" w:right="0" w:hanging="36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 the early stages of development of a market-oriented economy;</w:t>
            </w:r>
          </w:p>
        </w:tc>
      </w:tr>
    </w:tbl>
    <w:p>
      <w:pPr>
        <w:pStyle w:val="TextBody"/>
        <w:bidi w:val="0"/>
        <w:spacing w:before="0" w:after="0"/>
        <w:ind w:left="720" w:right="0" w:hanging="36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experienced rapid growth; and</w:t>
            </w:r>
          </w:p>
        </w:tc>
      </w:tr>
    </w:tbl>
    <w:p>
      <w:pPr>
        <w:pStyle w:val="TextBody"/>
        <w:bidi w:val="0"/>
        <w:spacing w:before="0" w:after="0"/>
        <w:ind w:left="720" w:right="0" w:hanging="36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a tightly controlled foreign exchange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in Hong Kong and China are sensitive to global economic conditions. Any prolonged slowdown in the global or Chinese economy may affect potential clients’ confidence in financial market as a whole and have a negative impact on our business, results of operations and financial condition. Additionally, continued turbulence in the international markets may adversely affect our ability to access the capital markets to meet liquidity needs.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political risks associated with conducting business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economic, social, and/or political conditions, material social unrest, strike, riot, civil disturbance, or disobedience, as well as significant natural disasters, may affect the market may adversely affect the business operations of Solomon JFZ.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operation is based in Hong Kong, any change of such political arrangements may pose immediate threat to the stability of the economy in Hong Kong, thereby directly and adversely affecting our results of operations and financial positions.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Hong Kong National Security Law enacted by the SCNPC in June 2020, the U.S. State Department has indicated that the United States no longer considers Hong Kong to have significant autonomy from China and, at the time, President Donald Trump signed an executive order and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recent actions may represent an escalation in political and trade tensions involving the United States, China, and Hong Kong, which could potentially harm our business. 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to China-U.S. relations could cause investor uncertainty for affected issuers, including us, and the market price of the Ordinary Shares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Ordinary Shares may be prohibited from trading in the United States under the HFCAA in the future if the PCAOB is unable to inspect or investigate completely auditors located in China or Hong Kong. The delisting of the Ordinary Shares, or the threat of their being delisted, may materially and adversely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In addition, if the PCAOB is unable to inspect the company’s auditors for three consecutive years, the issuer’s securities are prohibited to trade on a national exchange. On December 2, 2020, the U.S. House of Representatives approved the HFCA Act and it was signed into law on December 18,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AHFCAA, which, if enacted, would amend the HFCA Act and require the SEC to prohibit an issuer’s securities from trading on any U.S. stock exchanges if its audit work cannot be inspected when its auditor is subject to PCAOB inspections for two consecutive years instead of three and, thus, would reduce the time before the Ordinary Shares may be prohibited from trading or delisted. In December 2022, an omnibus spending bill was signed into law, which included the enactment of provisions under the AHFCAA to accelerate the timeline for implementation of trading prohibitions under the HFCA Act from three consecutive years to two consecutive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 Act. The rules apply to registrants the SEC identifies as having filed an annual report with an audit report issued by a registered public accounting firm that is located in a foreign jurisdiction and that the PCAOB is unable to inspect or investigate (“Commission-Identified Issuers”). The final amendments require Commission-Identified Issuers to submit documentation to the SEC establishing that, if true, it is not owned or controlled by a governmental entity in the public accounting firm’s foreign jurisdiction. The amendments also require that a Commission-Identified Issuer that is a “foreign issuer,” as defined in Exchange Act Rule 3b-4, provide certain additional disclosures in its annual report for itself and any of its consolidated foreign operating entities. A Commission-Identified Issuer will be required to comply with the submission and disclosure requirements in the annual report for each year in which it was identified. Accordingly, if we are determined by the SEC to be a Commission-Identified Issuer, we will incur additional costs in complying with the submission and disclosure requirements in the annual report for each year in which we are identified. In the event that we are deemed to have had two consecutive “non-inspection” years by the SEC, our securities will be prohibited from trading on any national securities exchange or over-the-counter markets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pursuant to the HFCA Act, the PCAOB issued a Determination Report which found that the PCAOB is unable to inspect or investigate completely registered public accounting firms headquartered in the PRC and Hong Kong, because of a position taken by one or more authorities in such jurisdictions. In addition, the PCAOB’s report identified specific registered public accounting firms which are subject to these determinations. Our current registered public accounting firm, WWC, P.C., is not headquartered in the PRC or Hong Kong and was not identified in this prospectus as a firm subject to the PCAOB’s determination. WWC, P.C. is a U.S.-based accounting firm that is registered with the PCAOB and can be inspected by the PCAOB. We have no current intention of engaging any auditor not based in the U.S. and not subject to regular inspection by the PCAOB. Furthermore, the PCAOB is able to inspect the audit workpapers of our Hong Kong subsidiaries, as such workpapers are electronic files possessed by our registered public accounting firms. However, if the PCAOB determines in the future that it cannot inspect or fully investigate our auditor at such future time, trading in our securities would be prohibited under the HFCA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CSRC, the MOF, and the PCAOB signed the Protocol, governing inspections and investigations of audit firms based in China and Hong Kong. The Protocol remains unpublished and is subject to further explanation and implementation. Pursuant to the fact sheet with respect to the Protocol disclosed by the SEC, the PCAOB shall have independent discretion to select any issuer audits for inspection or investigation and has the unfettered ability to transfer information to the SEC. On December 15, 2022, the PCAOB made a statement announcing that it was able, in 2022, to inspect and investigate completely issuer audit engagements of PCAOB-registered public accounting firms headquartered in China and Hong Kong and as a result, vacated its December 16, 2021 determination. However, uncertainties still exist as to whether the PCAOB will have continued access for complete inspections and investigations in the future. When the PCAOB reassesses its determinations in the future, it could still determine that it is unable to inspect and investigate completely accounting firms based in mainland China and Hong Kong. The PCAOB has also indicated that it will act immediately to consider the need to issue new determinations with the HFCA Act if needed. There can be no assurance that we will continue to be able to comply with requirements imposed by U.S. regulators if there is significant change to current political arrangements between mainland China and Hong Kong or if the PCAOB is not able to fully inspect any component of our auditor’s work papers in the future. Delisting of the Ordinary Shares would force holders of the Ordinary Shares to sell their Ordinary Shares. The market price of the Ordinary Shares could be adversely affected as a result of anticipated negative impacts of these executive or legislative actions, regardless of whether these executive or legislative actions are implemented and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offshore investment activities by PRC residents may subject us or our PRC resident beneficial owners to liability or penalties, limit our ability to conduct business in the PRC or may otherwise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2014, SAFE issued the Circular on Issues Concerning Foreign Exchange Control over the Overseas Investment and Financing and Round-trip Investment by Domestic Residents via Special Purpose Vehicles, or “SAFE Circular 37.” According to SAFE Circular 37, prior registration with the local SAFE branch is required for PRC residents, (including PRC individuals and PRC corporate entities as well as foreign individuals that are deemed as PRC residents for foreign exchange administration purpose), in connection with their direct or indirect contribution of domestic assets or interests to offshore special purpose vehicles, or “SPVs.” SAFE Circular 37 further requires amendments to the SAFE registrations in the event of any changes with respect to the basic information of the offshore SPV, such as change of a PRC individual shareholder, name, and operation term, or any significant changes with respect to the offshore SPV, such as an increase or decrease of capital contribution, share transfer or exchange, or mergers or divisions. SAFE Circular 37 is applicable to beneficial owners of the Ordinary Shares who are PRC residents. In February 2015, SAFE promulgated a Circular on Further Simplifying and Improving Foreign Exchange Administration Policy on Direct Investment, or “SAFE Circular 13,” effective in June 2015. Under SAFE Circular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 that our current or future PRC resident beneficial owners will always comply with our request to make or obtain any applicable registrations or continuously comply with all registration procedures set forth in these SAFE regulations. Such failure or inability of our PRC resident beneficial owners to comply with these SAFE regulations may subject us or our PRC resident beneficial owners to fines and legal sanctions, or restrict our cross-border business activities, as a result of which our business operations and our ability to distribute profits to you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Hong Kong and China legal systems are evolving and embody uncertainties which could limit the legal protections available to us. Uncertainties with respect to the PRC legal system, including uncertainties regarding the enforcement of laws, and sudden or unexpected changes in laws and regulations in China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Following British colonial rule from 1842 to 1997, China assumed sovereignty under the “one country, two systems” principle. The Hong Kong Special Administrative Region’s constitutional document, the Basic Law, ensures that the current political situation will remain in effect for 50 years. Hong Kong has enjoyed the freedom to function in a high degree of autonomy for its affairs, including currencies, immigration and custom, independent judiciary system and parliamentary system. On July 14, 2020, the United States signed an executive order to end the special status enjoyed by Hong Kong post-1997. As the autonomy currently enjoyed were compromised, it could potentially impact Hong Kong’s common law legal system and may in turn bring about uncertainty in, for example, the enforcement of our contractual rights. This could, in turn, materially and adversely affect our business and operation.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contrast, China’s legal system is a civil law system based on written statutes. Unlike common law systems, it is a system in which prior court decisions have limited value as precedents. Since 1979, the PRC government has promulgated laws and regulations governing economic matters in general, such as foreign investment, corporate organization and governance, commerce, taxation and trade. However, China has not developed a fully integrated legal system. As a result, recently enacted laws and regulations may not sufficiently cover all aspects of economic activities in China. In particular, because these laws and regulations are relatively new and the limited volume of published cases and their non-binding nature, interpretation and enforcement of these newer laws and regulations involve greater uncertainties than those in jurisdictions available to you. In addition, China’s legal system is based in part on government policies and administrative rules, and many have retroactive effects. Since the PRC legal system continues to evolve rapidly, the interpretations of many laws, regulations and rules are not always uniform and enforcement of these laws, regulations and rules involves uncertainties, which may limit legal protections available to us. As a result, we cannot predict the effect of future developments in China’s legal system, including the promulgation of new laws, changes to existing laws, or the interpretation or enforcement thereof, or the pre-emption of local regulations by national laws. We may not be aware of our violation of these policies and rules until sometime after the violation. Such uncertainties could adversely affect our business that relates to China or PRC citizens.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regulatory requirement of prior approval for transfer of shares in excess of certain threshold may restrict future takeovers and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 of Securities and Futures Ordinance (Cap. 571 of the laws of Hong Kong) (the “SFO”) requires a person (including a corporation) to apply for prior approval from the HKSFC to become a substantial or continue to be shareholder of a HKSFC-licensed company in Hong Kong. Under the SFO, a person is regarded as a “substantial shareholder” of a licensed company if he, either alone or with associates, has an interest in share in the licensed company the aggregate number of which shares is equal to more than 10% of the total number of issued shares of the licensed company, or is entitled to, either directly or indirectly, exercise or control the exercise of the voting power of more than 10% of the voting power at general meetings of the licensed company, or hold shares in any other corporation which entitles the person, either alone or with any of his associates and either directly or indirectly, exercises or control the exercise of 35% or more of the voting power at the general meetings of the other corporation, of or a further corporation, that controls either alone or with any of its associates and either directly or indirectly, more than 10% of the voting power at general meetings of the licensed company. Further, all potential parties who will be new substantial shareholder(s) of Solomon JFZ, our HKSFC-licensed subsidiary, is required to seek prior approval from the HKSFC. This regulatory requirement may discourage, delay or prevent a change in control of Solomon JFZ, which could deprive our shareholders the opportunity to receive a premium for their shares as part of a future sale and may reduce the price of the Ordinary Shares upon the consummation of a future proposed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Ordinary Shares to investors and cause the value of the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a variety of laws and regulations in the PRC regarding privacy, data security, cybersecurity, data protection and overseas offering.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enacted the PDSL, which took effect on September 1, 2021. The law requires data collection to be conducted in a legitimate and proper manner, and stipulates that, for the purpose of data protection, data processing activities must be conducted based on data classification and hierarchical protection system for data security and no organization or individual within the territory of the PRC may provide foreign judicial or law enforcement authorities with the data stored within the territory of the PRC without the approval of the competent authorities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These opinions proposed to take effective measures, such as promoting the construction of relevant regulatory systems, to deal with the risks and incidents facing China-based overseas-listed companies and the demand for cybersecurity and data privacy protection. On February 17, 2023, with the approval of the State Council, the CSRC issued the New Overseas Listing Rules, which became effective on March 31, 2023. According to the New Overseas Listing Rules, domestic enterprises are required to file with CSRC by submitting filing reports, legal opinions and other relevant materials in the following two situations: (i) a domestic company that seeks to offer or list securities overseas, both directly and indirectly, should fulfill the filing procedures with the CSRC; (2) where a domestic company seeks to indirectly offer and list securities in an overseas market, the issuer shall designate a major domestic operating entity responsible for all filing procedures with the CSRC. In addition, if the issuer meets both of the following conditions, the overseas offering and listing shall be determined as an indirect overseas offering and listing by a domestic company: (i) any of the revenues, profits, total assets or net assets of the domestic operating entity in the most recent fiscal year accounts for more than 50% of the corresponding figure in the issuer’s audited consolidated financial statements for the same period; (ii) its major operational activities are carried out in mainland China or its main places of business are located in mainland China, or the senior managers in charge of operation and management of the issuer are mostly Chinese citizens or mainland China residents. The determination will be based on the “substance over form” principle, requiring securities companies and law firms to conduct comprehensive verification and identification to determine whether the filing documents fail to prove whether the enterprise falls into the above situations that require the filing. When an issuer makes an application for an initial public offering in an overseas market, the issuer shall submit filings with the CSRC within three business days after such application is submitted overseas.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2021, the CAC issued the Revised Draft, which required that, among others, in addition to “operator of critical information infrastructure” any “data processor” controlling personal information of no less than one million users which seeks to list in a foreign stock exchange should also be subject to cybersecurity review. Pursuant to Article 6 of the Revised Draft, companies holding data or more than one million users must apply for cybersecurity approval when seeking overseas listings because of the risk that such data and personal information could be “affected, controlled, and maliciously exploited by foreign governments.” On December 28, 2021, the CAC published the revised CRM, which further restates and expands the applicable scope of the cybersecurity review. The revised CRM took effect on February 15, 2022, and replaced the Revised Draft issued on July 10, 2021.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(1) our HK Subsidiaries are incorporated and located in Hong Kong and none of them controls more than one million users’ personal information; (2) we have no subsidiary, VIE structure, nor any direct operations in mainland China; (3) the primary focus of our business operations is located outside mainland China and the majority of our senior management personnel, who are responsible for the daily operation and management, are Hong Kong citizens and do not reside in mainland China; (4) we possess minimum amount of personal information to achieve the purpose of processing in our business operations with minimal impact on the rights and interests of individuals; (5) all of the data and personal information of our clients are securely stored on equipment owned by an HKEX certified server provider located in Hong Kong; (6) data processed in our business does not have a bearing on national security and thus may not be classified as core or important data by the authorities ; and (7) pursuant to the Basic Law, which is a national law of the PRC and the constitutional document for Hong Kong, national laws of the PRC shall not be applied in Hong Kong except for those listed in Annex III of the Basic Law (which is confined to laws relating to defense and foreign affairs, as well as other matters outside the autonomy of Hong Kong), We do not currently expect the revised CRM, the DSL, the PRC PIPL, and the New Overseas Listing Rules to have an impact on our business, operations, or future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legal and operational risks associated with operations in China may apply to our operations in Hong Kong, should recent statements and regulatory actions by China’s government apply to us in the future. Since these statements and regulatory actions are relatively new, it is highly uncertain how soon the legislative or administrative regulation-making bodies will respond and what existing or new laws or regulations or detailed implementations and interpretations will be modified or promulgated, if any. It is also highly uncertain what the potential impact such modified or new laws and regulations will have on the daily business operations of our operating subsidiaries, their abilities to accept foreign investments and the listing of the Ordinary Shares on a U.S. or other foreign exchanges. There remains significant uncertainty in the interpretation and enforcement of relevant PRC cybersecurity laws and regulations. If the New Overseas Listing Rules further expand their scope of application, we may be required to make a filing with the CSRC. If the revised CRM or the PRC PIPL or any other PRC regulations like the Draft Assessment Measures for the Security of Personal Information Leaving the Country are required to be applicable to our operating HK Subsidiaries by PRC authorities, our business operation could be subject to the CAC’s cybersecurity review or a CSRC review in the future. If any of our operating subsidiaries becomes subject to the CAC or CSRC review, we cannot assure you that our operating subsidiaries will be able to comply with the regulatory requirements in all respects, and the current practice of collecting and processing personal information may be ordered to be rectified or terminated by regulatory authorities. In the event of a failure to comply, our operating subsidiaries may become subject to fines and other penalties that may have a material adverse effect on our business, operations, and financial condition and may hinder our ability to offer or continue to offer Ordinary Shares to investors and cause the value of the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treated as a non-resident enterprise for PRC tax purposes under the PRC Enterprise Income Tax Law, and we may therefore be subject to income tax on our income from PRC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 foreign enterprise which has no establishment or place in the PRC but derives profit from sources in the PRC will be subject to the enterprise income tax on its PRC income. We believe that our income from PRC residents may not be the profit from sources in the PRC and hence, we are not a non-resident enterprise subject to PRC income tax for the following reasons: (i) we conduct our operations through our operating subsidiaries in Hong Kong; (ii) we have no subsidiary, VIE structure, nor any direct operations in the PRC; (iii) we do not have income directly from PRC accounts. However, whether we have income from sources in the PRC is subject to determination by the PRC tax authorities. There is uncertainty that with the development of our business, part of our profit might be deemed as profit from sources in the PRC and we might be subject to PRC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uncertainty as to the application of the “non-resident enterprise” classification, we cannot assure you that the PRC government will not amend or revise the taxation laws, rules and regulations to impose stricter tax requirements, such as the potential imposition of transaction taxes, or higher tax rates. Any of such changes could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Ownership of the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extreme stock price volatility unrelated to our actual or expected operating performance, financial condition or prospects, making it difficult for prospective investors to assess the rapidly changing value of the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stock market has witnessed instances of extreme stock price run-ups followed by rapid price declines in 2022 and such share price volatility seemed unrelated to the issuers’ performance subsequent to their recent initial public offerings, especially among companies with relatively smaller public floats. As a relatively small-capitalized company with a small public float, the share price of the Ordinary Shares has experienced extreme volatility after they were listed in September 2023. Additionally, we may also experience lower trading volume and less liquidity than large-capitalized companies. Although the specific cause of such volatility is unclear, our anticipated small public float may amplify the impact the actions taken by a few shareholders have on the price of the Ordinary Shares, which may cause our share price to deviate, potentially significantly, from a price that better reflects the underlying performance of our business. The extreme volatility may confuse public investors regarding the value of our shares, distort the market perception of our share price and our company’s financial performance and public image, and negatively affect the long-term liquidity of the Ordinary Shares, regardless of our actual or expected operating performance. Should the Ordinary Shares continue to experience run-ups and declines that are seemingly unrelated to our actual or expected operating performance and financial condition or prospects, prospective investors may have difficulty assessing the rapidly changing value of the Ordinary Shares and our ability to access the capital market may be materially adversely affected. In addition, if the trading volumes of the Ordinary Shares are low, holders of the Ordinary Shares may also not be able to readily liquidate their investment or may be forced to sell at depressed prices due to low volume trading. As a result of this volatility, investors may experience losses on their investment in the Ordinary Shares.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 listing of the Ordinary Shares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Nasdaq’s continued listing requirements, the Ordinary Shares may be delisted. In addition, our board of directors may determine that the cost of maintaining our listing on a national securities exchange outweighs the benefits of such listing. A delisting of the Ordinary Shares from Nasdaq may materially impair our shareholders’ ability to buy and sell the Ordinary Shares and could have an adverse effect on the market price of, and the efficiency of the trading market for, the Ordinary Shares. The delisting of the Ordinary Shares could significantly impair our ability to raise capital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publish unfavorable research, or do not continue to cover us, our share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Ordinary Shares depends in part on the research and reports that securities or industry analysts publish about us. We do not have any control over these analysts. If an analyst downgrades the Ordinary Shares or publishes unfavorable research about our business, the price of Ordinary Shares would likely decline. If an analyst ceases coverage of us or fails to publish reports on us regularly, we could lose visibility in the financial markets and demand for the Ordinary Shares could decrease, which could cause the share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historically declared or paid dividends on the Ordinary Shares and, consequently, your ability to achieve a return on your investment will depend on appreciation in the price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historically declared or paid dividends on the Ordinary Shares. We currently intend to invest our future earnings, if any, to fund our growth, to develop business, for working capital needs, to reduce debt and for general corporate purposes. We do not expect to declare or pay any dividends in the foreseeable future. Therefore, the success of an investment in the Ordinary Shares will depend upon any future appreciation in their value. There is no guarantee that the Ordinary Shares will appreciate in value or even maintain their current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decision to pay dividends in the future will be at the full discretion of our board of directors and will depend upon various factors then existing, including earnings, financial condition, results of operations, capital requirements, level of indebtedness, restrictions imposed by applicable law,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issue additional equity or debt securities, which are senior to the Ordinary Shares as to distributions and in liquidation, which could materially adversely affect the market price of the Ordinary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entering into additional debt or debt-like financing that is secured by all or up to all of our assets, or issuing debt or equity securities, which could include issuances of commercial paper, medium-term notes, senior notes, subordinated notes or shares. In the event of our liquidation, our lenders and holders of our debt securities would receive a distribution of our available assets before distributions to our shareholders of Ordinary Shares. In addition, any additional preferred shares, if issued by our company, may have a preference with respect to distributions and upon liquidation, which could further limit our ability to make distributions to our shareholders of Ordinary Shares. Because our decision to incur debt and issue securities in our future offerings will depend on market conditions and other factors beyond our control, we cannot predict or estimate the amount, timing or nature of our future offerings and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market conditions could require us to accept less favorable terms for the issuance of our securities in the future. Thus, you will bear the risk of our future offerings reducing the value of your Ordinary Shares and diluting your interest in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officers and principal shareholders have significant voting power and may take actions that may not be in the best interests of our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officers and principal shareholders hold in aggregate approximately 68.84% of our shares. We are not considered a “controlled company” under Nasdaq corporate governance rules as we do not currently expect that more than 50% of our voting power will be held by an individual, a group or another company. These shareholders, however, if they act together, will be able to control the management and affairs of our company and most matters requiring shareholder approval, including the election of directors and approval of significant corporate transactions. The interests of these shareholders may not be the same as or may even conflict with your interests. For example, these shareholders could attempt to delay or prevent a change in control of us, even if such change in control would benefit our other shareholders, which could deprive our shareholders of an opportunity to receive a premium for their Ordinary Shares as part of a sale of us or our assets, and might affect the prevailing market price of the Ordinary Shares due to investors’ perceptions that conflicts of interest may exist or arise. As a result, this concentration of ownership may not be in the best interests of our other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or current reports on Form 8-K;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of the Exchange Act regulating the solicitation of proxies, consents, or authorizations in respect of a security registered under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of the Exchange Act requiring insiders to file public reports of their stock ownership and trading activities and liability for insiders who profit from trades made in a short period of time; and</w:t>
            </w:r>
          </w:p>
        </w:tc>
      </w:tr>
    </w:tbl>
    <w:p>
      <w:pPr>
        <w:pStyle w:val="TextBody"/>
        <w:bidi w:val="0"/>
        <w:spacing w:before="0" w:after="0"/>
        <w:ind w:left="720" w:right="0" w:hanging="36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may publish our results on a quarterly basis as press releases, distributed pursuant to the rules and regulations of the Nasdaq Stock Market. Press releases relating to financial results and material events will also be furnished to the SEC in reports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rely on exemptions from certain Nasdaq corporate governance standards applicable to domestic U.S. issuers. This may afford less protection to holders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exempted from certain corporate governance requirements of Nasdaq by virtue of being a foreign private issuer. As a foreign private issuer, we are permitted to follow the governance practices of our home country, the Cayman Islands, in lieu of certain corporate governance requirements of Nasdaq. As result, the standards applicable to us are considerably different than the standards applied to domestic U.S. issuers. For instance, we are not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 majority of the board be independent (although all of the members of the audit committee must be independent under the Exchange Act);</w:t>
            </w:r>
          </w:p>
        </w:tc>
      </w:tr>
    </w:tbl>
    <w:p>
      <w:pPr>
        <w:pStyle w:val="TextBody"/>
        <w:bidi w:val="0"/>
        <w:spacing w:before="0" w:after="0"/>
        <w:ind w:left="1080" w:right="0" w:hanging="36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 compensation committee and a nominating committee to be comprised solely of “independent directors”; or</w:t>
            </w:r>
          </w:p>
        </w:tc>
      </w:tr>
    </w:tbl>
    <w:p>
      <w:pPr>
        <w:pStyle w:val="TextBody"/>
        <w:bidi w:val="0"/>
        <w:spacing w:before="0" w:after="0"/>
        <w:ind w:left="1080" w:right="0" w:hanging="36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an annual meeting of shareholders no later than one year after the end of our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the requirements of Nasdaq listing rules to have a majority of the board be independent and to appoint a compensation committee and a nominating and corporate governance committee. We may, however, in the future consider following home country practice in lieu of the requirements under Nasdaq listing rules with respect to certain corporate governance standards which may afford less protection to investors than they would otherwise enjoy under the Nasdaq corporate governance listing standards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lose our foreign private issuer status if, for example, more than 50% of the Ordinary Shares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rules. As a U.S.-listed public company that is not a foreign private issuer, we will incur significant additional legal, accounting, and other expenses that we will not incur as a foreign private issuer in order to maintain a listing on a U.S.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may be unable to present proposals before annual general meetings or extraordinary general meetings not called by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convene a general meeting and does not provide shareholders with any right to put any proposal before a general meeting. However, these rights may be provided in a company’s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Amended and Restated Memorandum and Articles of Association do not provide its shareholders with any right to requisition a general meeting or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Solowin’s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Cayman Islands company and substantially all of our assets are located outside of the United States. Substantially all of our current operations are conducted in Hong Kong by Solomon JFZ.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 Even if you are successful in bringing an action of this kind, the laws of the Cayman Islands and of Hong Kong may render you unable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Solowin is incorporated under Cayman Islands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an exempted company incorporated under the laws of the Cayman Islands. Its corporate affairs are governed by its Amended and Restated Memorandum and Articles of Association, the Companies Act (As Revised) of the Cayman Islands and the common law of the Cayman Islands. The rights of the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the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Solowin have no general rights under Cayman Islands law to inspect corporate records or to obtain copies of lists of shareholders of these companies. Solowin’s Amended and Restated Memorandum and Articles of Association have provisions that provide our shareholders with the right to inspect the register of members without charge, and to receive the annual audited financial statements of the Company. Subject to the foregoing, our directors have discretion under the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Solowin’s Amended and Restated Memorandum and Articles of Association contain anti-takeover provisions that could discourage a third party from acquiring us, which could limit Solowin’s shareholders’ opportunity to sell their shares at a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Amended and Restated Memorandum and Articles of Association contain provisions to limit the ability of others to acquire control of our company or cause us to engage in change-of-control transactions. These provisions could have the effect of depriving Solowin’s shareholders of an opportunity to sell their shares at a premium over prevailing market prices by discouraging third parties from seeking to obtain control of our company in a tender offer or similar transaction. For example, Solowin’s board of directors has the authority, without further action by its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Companies Act (As Revised) of the Cayman Islands. Preferred shares could be issued quickly with terms calculated to delay or prevent a change in control of our company or make removal of management more difficult. If Solowin’s board of directors decides to issue preferred shares, the price of the Ordinary Shares may fall and the voting and other rights of the holders of the Ordinary Shares may be materially and adversely affected. In addition, Solowin’s Amended and Restated Memorandum and Articles of Association contain other provisions that could limit the ability of third parties to acquire control of our company or cause us to engage in a transaction resulting in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that we will be a passive foreign investment company for any taxable year, which could result in adverse U.S. federal income tax consequences to U.S. investors in the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expected composition of our income and assets and the value of our assets, including goodwill, we do not expect to be a PFIC for our current taxable year. However, the proper application of the PFIC rules to a company with a business such as ours is not entirely clear. Because the proper characterization of certain components of our income and assets is less than certain, and because our PFIC status for any taxable year will depend on the composition of our income and assets and the value of our assets from time to time (which may be determined, in part, by reference to the market price of the Ordinary Shares, which could be volatile), there can be no assurance that we will not be a PFIC for our current taxable year or any future taxable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for any taxable year during which a U.S. investor holds the Ordinary Shares, certain adverse U.S. federal income tax consequences could apply to such U.S. investor.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International Tax Cooperation (Economic Substance) Act, 2018 of the Cayman Islands (“ES Act”) that came into force on January 1,2019, a “relevant entity” is required to satisfy the economic substance test set out in the ES Act. A “relevant entity” includes an exempted company incorporated in the Cayman Islands as is Solowin; however, it does not include an entity that is tax resident outside the Cayman Islands. Accordingly, for so long as the Company is a tax resident outside the Cayman Islands, including in Hong Kong, it is not required to satisfy the economic substance test set out in the 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4"/>
      <w:bookmarkEnd w:id="14"/>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forward-looking statements within the meaning of section 27A of the Securities Act and section 21E of the Exchange Act. These forward-looking statements are management’s beliefs and assumptions. In addition, other written or oral statements that constitute forward-looking statements are based on current expectations, estimates and projections about the industry and markets in which we operate and statements may be made by or on our behalf. Words such as “should,” “could,” “may,”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There are a number of important factors that could cause our actual results to differ materially from those indicated by such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material risks, uncertainties and assumptions that could affect our business, including our financial condition and results of operations, under “Risk Factors” and may update our descriptions of such risks, uncertainties and assumptions in any prospectus supplement. We base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Accordingly, you should be careful about relying on any forward-looking statements. Reference is made in particular to forward-looking statements regarding growth strategies, financial results, product and service development, competitive strengths, intellectual property rights, litigation, mergers and acquisitions, market acceptance or continued acceptance of our products and services, accounting estimates, financing activities, ongoing contractual obligations and sales efforts. Except as required under the federal securities laws, the rules and regulations of the SEC, stock exchange rules, and other applicable laws, regulations and rules, we do not have any intention or obligation to update publicly any forward-looking statements after the distribution of this prospectus, whether as a result of new information, future events, changes in assumptions, or otherwise.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5"/>
      <w:bookmarkEnd w:id="15"/>
      <w:r>
        <w:rPr>
          <w:rFonts w:ascii="Times New Roman;Times;Serif" w:hAnsi="Times New Roman;Times;Serif"/>
          <w:b/>
          <w:i w:val="false"/>
          <w:caps w:val="false"/>
          <w:smallCaps w:val="false"/>
          <w:sz w:val="20"/>
        </w:rPr>
        <w:t>USE OF PROCEEDS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accompanying prospectus supplement, the net proceeds from the sale of the securities offered hereby will be used for general corporate purposes, which may include working capital, capital expenditures, debt repayment, or acquisitions. Depending on future events and others changes in the business climate, we may determine at a later time to use the net proceeds for different purposes. As a result, our management will have broad discretion in the allocation of the net proceeds and investors will be relying on the judgment of our management regarding the application of the proceeds of any sale of the securities. In the event that any net proceeds are not immediately applied, we may temporarily hold them as cash, deposit them in banks or invest them in cash equivalents or securities. We have not allocated any portion of the net proceeds for any particular use at this time. Specific information concerning the use of proceeds from the sale of any securities will be included in the prospectus supplement relating to the particular offering in which they are sold.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Ordinary Shares owned by the selling shareholder. The selling shareholder will receive all of the net proceeds from the sale of any securities offered by it under this prospectus. We have agreed to bear expenses incurred by the selling shareholder that relate to the registration of the Ordinary Shares being offered and sold by the selling shareholder, including the SEC registration fee and legal, accounting, printing and other expenses of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6"/>
      <w:bookmarkEnd w:id="16"/>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and indebtedness will be set forth in a prospectus supplement to this prospectus or in a report of foreign private issuer on Form 6-K subsequently furnished to the SEC and specifically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7"/>
      <w:bookmarkEnd w:id="17"/>
      <w:r>
        <w:rPr>
          <w:rFonts w:ascii="Times New Roman;Times;Serif" w:hAnsi="Times New Roman;Times;Serif"/>
          <w:b/>
          <w:i w:val="false"/>
          <w:caps w:val="false"/>
          <w:smallCaps w:val="false"/>
          <w:sz w:val="20"/>
        </w:rPr>
        <w:t>DESCRIPTION OF SHARE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$100,000 divided into 1,000,000,000 shares, with a nominal or par value of $0.0001 each.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October 24, 2024, there were 15,980,000 Ordinary Shares issued and outstanding, and no preferred shares issued and outstanding.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Ordinary Shares and preferred shares, including the rights and obligations attached thereto, please refer to Exhibit 2.1 to our Annual Report on Form 20-F for the fiscal year ended March 31, 2024, which is incorporated by reference herein.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8"/>
      <w:bookmarkEnd w:id="18"/>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general terms of the debt securities that we may issue and is not intended to be complete. If debt securities are issued, we will describe in the applicable prospectus supplement the particular terms and provisions of any series of the debt securities and a description of how the general terms and provisions described below may apply to that series of the debt securities. The terms presented here, together with the terms in a related prospectus supplement, will be a description of the material terms of the debt securities. You should also read the indenture under which the debt securities are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debt securities, in one or more series, that will consist of senior debt, senior subordinated debt or subordinated debt. We refer to the subordinated debt securities and the senior subordinated debt securities together as the subordinated securities. Debt securities, whether senior, senior subordinated or subordinated, may be issued as convertible debt securities or exchangeable debt securities. It is likely that convertible debt securities will not be issued under an indenture. We may issue the debt securities independently or together with any underlying securities, and debt securities may be attached or separate from the underlying securities. We may also issue the debt securities under an indenture between us and an entity, identified in the applicable prospectus supplement, as trustee. We have filed with the SEC a form of indenture governing different types of debt securities that we may offer as an exhibit to the registration statement of which this prospectus is a part. The following is a summary of the material provisions of the indenture filed as an exhibit to the registration statement of which this prospectus is a part. All capitalized terms have the meanings specified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 Prospective investors should rely on information in the applicable prospectus supplement and not on the following information to the extent that the information in such prospectus supplement is different from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Terms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we may issue. It provides that we may issue debt securities up to the principal amount that we may authorize and may be in any currency or currency unit that we may designate. We may, without the consent of the holders of any series, increase the principal amount of securities in that series in the future, on the same terms and conditions and with the same CUSIP numbers as that series.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Material U.S. federal income tax considerations applicable to debt securities issued with original issue discount will be described in more detail in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for a series of debt securities that we issue will describe, among other things, the following terms of the offered debt securities:</w:t>
      </w:r>
    </w:p>
    <w:p>
      <w:pPr>
        <w:pStyle w:val="TextBody"/>
        <w:bidi w:val="0"/>
        <w:spacing w:before="0" w:after="0"/>
        <w:ind w:left="0" w:right="0" w:hanging="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and authorized denominations of the series of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 on the aggregate principal amount of the series of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such debt securities will be issued in fully registered form without coupons or in a form registered as to principal only with coupons or in bearer form with coupons;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issued in the form of one or more global securities and whether all or a portion of the principal amount of the debt securities is represented thereby;</w:t>
            </w:r>
          </w:p>
        </w:tc>
      </w:tr>
    </w:tbl>
    <w:p>
      <w:pPr>
        <w:pStyle w:val="TextBody"/>
        <w:bidi w:val="0"/>
        <w:spacing w:before="0" w:after="0"/>
        <w:ind w:left="720" w:right="0" w:hanging="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the debt securities will be issued;</w:t>
            </w:r>
          </w:p>
        </w:tc>
      </w:tr>
    </w:tbl>
    <w:p>
      <w:pPr>
        <w:pStyle w:val="TextBody"/>
        <w:bidi w:val="0"/>
        <w:spacing w:before="0" w:after="0"/>
        <w:ind w:left="72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principal is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and the manner in which principal, premium or interest, if any, will be payable and the place or places where the debt securities may be presented for transfer and, if applicable, conversion or exchange;</w:t>
            </w:r>
          </w:p>
        </w:tc>
      </w:tr>
    </w:tbl>
    <w:p>
      <w:pPr>
        <w:pStyle w:val="TextBody"/>
        <w:bidi w:val="0"/>
        <w:spacing w:before="0" w:after="0"/>
        <w:ind w:left="72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and the dates from which interest, if any, will accrue, and the dates when interest is payable and the maturity;</w:t>
            </w:r>
          </w:p>
        </w:tc>
      </w:tr>
    </w:tbl>
    <w:p>
      <w:pPr>
        <w:pStyle w:val="TextBody"/>
        <w:bidi w:val="0"/>
        <w:spacing w:before="0" w:after="0"/>
        <w:ind w:left="720" w:right="0" w:hanging="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if any, to extend the interest payment periods and the duration of the extensions;</w:t>
            </w:r>
          </w:p>
        </w:tc>
      </w:tr>
    </w:tbl>
    <w:p>
      <w:pPr>
        <w:pStyle w:val="TextBody"/>
        <w:bidi w:val="0"/>
        <w:spacing w:before="0" w:after="0"/>
        <w:ind w:left="72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rights or obligations to redeem or purchase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sinking fund or other provisions that would obligate us to repurchase or otherwise redeem some or all of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or exchange provisions, if any, including conversion or exchange prices or rates and adjustments thereto;</w:t>
            </w:r>
          </w:p>
        </w:tc>
      </w:tr>
    </w:tbl>
    <w:p>
      <w:pPr>
        <w:pStyle w:val="TextBody"/>
        <w:bidi w:val="0"/>
        <w:spacing w:before="0" w:after="0"/>
        <w:ind w:left="72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of payment of principal or interest;</w:t>
            </w:r>
          </w:p>
        </w:tc>
      </w:tr>
    </w:tbl>
    <w:p>
      <w:pPr>
        <w:pStyle w:val="TextBody"/>
        <w:bidi w:val="0"/>
        <w:spacing w:before="0" w:after="0"/>
        <w:ind w:left="72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applicable to any debt securities issued at a discount from their stated principal amount;</w:t>
            </w:r>
          </w:p>
        </w:tc>
      </w:tr>
    </w:tbl>
    <w:p>
      <w:pPr>
        <w:pStyle w:val="TextBody"/>
        <w:bidi w:val="0"/>
        <w:spacing w:before="0" w:after="0"/>
        <w:ind w:left="720" w:right="0" w:hanging="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if any, under which any debt securities will rank junior to any of our other debt;</w:t>
            </w:r>
          </w:p>
        </w:tc>
      </w:tr>
    </w:tbl>
    <w:p>
      <w:pPr>
        <w:pStyle w:val="TextBody"/>
        <w:bidi w:val="0"/>
        <w:spacing w:before="0" w:after="0"/>
        <w:ind w:left="720" w:right="0" w:hanging="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upon what terms the debt securities may be defeased, if different from the provisions set forth in the indenture;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tc>
      </w:tr>
    </w:tbl>
    <w:p>
      <w:pPr>
        <w:pStyle w:val="TextBody"/>
        <w:bidi w:val="0"/>
        <w:spacing w:before="0" w:after="0"/>
        <w:ind w:left="72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if any, relating to any collateral provided for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than the entire principal amount of the debt securities when issued, the portion of the principal amount payable upon acceleration of maturity as a result of a default on our obligations;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of default and covenants relating to the debt securities that are in addition to, modify or delete those described in this prospectus;</w:t>
            </w:r>
          </w:p>
        </w:tc>
      </w:tr>
    </w:tbl>
    <w:p>
      <w:pPr>
        <w:pStyle w:val="TextBody"/>
        <w:bidi w:val="0"/>
        <w:spacing w:before="0" w:after="0"/>
        <w:ind w:left="720" w:right="0" w:hanging="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terms of any security for any secured debt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of any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present material U.S. federal income tax considerations for holders of any debt securities and the securities exchange or quotation system on which any debt securities are to be listed or quoted.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and interest, if any, on senior debt securities will rank on a parity with all of our other secured/unsecured and unsubordinated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and interest, if any, on senior subordinated debt securities will be junior in right of payment to the prior payment in full of all of our unsubordinated debt, including senior debt securities and any credit facility. We will state in the applicable prospectus supplement relating to any senior subordinated debt securities the subordination terms of the securities as well as the aggregate amount of outstanding debt, as of the most recent practicable date, that by its terms would be senior to the senior subordinated debt securities. We will also state in such prospectus supplement limitations, if any, on issuance of additional senior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and interest, if any, on subordinated debt securities will be subordinated and junior in right of payment to the prior payment in full of all of our senior debt, including our senior debt securities and senior subordinated debt securities. We will state in the applicable prospectus supplement relating to any subordinated debt securities the subordination terms of the securities as well as the aggregate amount of outstanding indebtedness, as of the most recent practicable date, that by its terms would be senior to the subordinated debt securities. We will also state in such prospectus supplement limitations, if any, on issuance of additional senior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convertible into or exchangeable for other securities being registered in this registration statement, including, for example, shares of our equity securities. The terms and conditions of conversion or exchange will be stated in the applicable prospectus supplement. The terms will include,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or exchange price;</w:t>
            </w:r>
          </w:p>
        </w:tc>
      </w:tr>
    </w:tbl>
    <w:p>
      <w:pPr>
        <w:pStyle w:val="TextBody"/>
        <w:bidi w:val="0"/>
        <w:spacing w:before="0" w:after="0"/>
        <w:ind w:left="720" w:right="0" w:hanging="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or exchange period;</w:t>
            </w:r>
          </w:p>
        </w:tc>
      </w:tr>
    </w:tbl>
    <w:p>
      <w:pPr>
        <w:pStyle w:val="TextBody"/>
        <w:bidi w:val="0"/>
        <w:spacing w:before="0" w:after="0"/>
        <w:ind w:left="72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regarding the ability of us or the holder to convert or exchange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requiring adjustment to the conversion or exchange price; and</w:t>
            </w:r>
          </w:p>
        </w:tc>
      </w:tr>
    </w:tbl>
    <w:p>
      <w:pPr>
        <w:pStyle w:val="TextBody"/>
        <w:bidi w:val="0"/>
        <w:spacing w:before="0" w:after="0"/>
        <w:ind w:left="720"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affecting conversion or exchange in the event of our redemption of the debt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consolidate or merge with or into, or transfer or lease all or substantially all of our assets to, any person, and we cannot permit any other person to consolidate with or merge into us, unless (1) we will be the continuing corporation or (2) the successor corporation or person to which our assets are transferred or leased is a corporation organized under the laws of the United States, any state of the United States or the District of Columbia and it expressly assumes our obligations under the debt securities and the indenture. In addition, we cannot complete such a transaction unless immediately after completing the transaction, no event of default under the indenture, and no event which, after notice or lapse of time or both, would become an event of default under the indenture, shall have occurred and be continuing. When the person to whom our assets are transferred or leased has assumed our obligations under the debt securities and the indenture, we shall be discharged from all our obligations under the debt securities and the indenture except in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“Event of Default,” when used in the indenture, unless otherwise indicated, means any of the following:</w:t>
      </w:r>
    </w:p>
    <w:p>
      <w:pPr>
        <w:pStyle w:val="TextBody"/>
        <w:bidi w:val="0"/>
        <w:spacing w:before="0" w:after="0"/>
        <w:ind w:left="0" w:right="0" w:hanging="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pay interest for 30 days after the date payment is due and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pay principal or premium, if any, on any debt security when due, either at maturity, upon any redemption, by declaration or otherwise;</w:t>
            </w:r>
          </w:p>
        </w:tc>
      </w:tr>
    </w:tbl>
    <w:p>
      <w:pPr>
        <w:pStyle w:val="TextBody"/>
        <w:bidi w:val="0"/>
        <w:spacing w:before="0" w:after="0"/>
        <w:ind w:left="72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sinking fund payments when due;</w:t>
            </w:r>
          </w:p>
        </w:tc>
      </w:tr>
    </w:tbl>
    <w:p>
      <w:pPr>
        <w:pStyle w:val="TextBody"/>
        <w:bidi w:val="0"/>
        <w:spacing w:before="0" w:after="0"/>
        <w:ind w:left="72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perform other covenants for 60 days after notice that performance was required;</w:t>
            </w:r>
          </w:p>
        </w:tc>
      </w:tr>
    </w:tbl>
    <w:p>
      <w:pPr>
        <w:pStyle w:val="TextBody"/>
        <w:bidi w:val="0"/>
        <w:spacing w:before="0" w:after="0"/>
        <w:ind w:left="720" w:right="0" w:hanging="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in bankruptcy, insolvency or reorganization relating to us;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provided in the applicable officer’s certificate, resolution of our board of directors or the supplemental indenture under which we issue a series of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a particular series of debt securities does not necessarily constitute an Event of Default for any other series of debt securities issued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senior debt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unless otherwise provided in the applicable prospectus supplement, if such an Event of Default occurs and is continuing with respect to more than one series of senior debt securities under the indenture, the trustee for such series or the holders of a majority in aggregate principal amount of the outstanding debt securities of all such series of senior debt securities of equal ranking (or, if any of such senior debt securities are discount securities, such portion of the principal amount as may be specified in the terms of that series), voting as one class, may make such declaration of acceleration as to all series of such equal ranking and not the holders of the debt securities of any one of such series of senior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subordinated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unless otherwise provided in the applicable prospectus supplement, if such an Event of Default occurs and is continuing with respect to more than one series of subordinated securities under the indenture, the trustee for such series or the holders of a majority in aggregate principal amount of the outstanding debt securities of all such series of subordinated securities of equal ranking (or, if any of such subordinated securities are discount securities, such portion of the principal amount as may be specified in the terms of that series), voting as one class, may make such declaration of acceleration as to all series of equal ranking and not the holders of the debt securities of any one of such series of subordinated securities. The holders of not less than a majority in aggregate principal amount of the debt securities of all affected series of equal ranking may, after satisfying certain conditions, rescind and annul any of the above-described declarations and consequences involving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relating to events in bankruptcy, insolvency or reorganization of us occurs and is continuing, then the principal amount of all of the debt securities outstanding, and any accrued interest, will automatically become due and payable immediately, without any declaration or other act by the trustee or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pStyle w:val="TextBody"/>
        <w:bidi w:val="0"/>
        <w:spacing w:before="0" w:after="0"/>
        <w:ind w:left="0" w:right="0" w:hanging="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has previously given to the trustee written notice of default and continuance of such default;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debt securities of the affected series of equal ranking have requested that the trustee institute the action;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requesting holders have offered the trustee reasonable indemnity for expenses and liabilities that may be incurred by bringing the action;</w:t>
            </w:r>
          </w:p>
        </w:tc>
      </w:tr>
    </w:tbl>
    <w:p>
      <w:pPr>
        <w:pStyle w:val="TextBody"/>
        <w:bidi w:val="0"/>
        <w:spacing w:before="0" w:after="0"/>
        <w:ind w:left="720" w:right="0" w:hanging="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has not instituted the action within 60 days of the request;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has not received inconsistent direction by the holders of a majority in principal amount of the outstanding debt securities of the affected series of equal ranking.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file annually with the trustee a certificate, signed by one of our officers, stating whether or not the officer knows of any default by us in the performance, observance or fulfillment of any condition or covenant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Global Securities and Book Entry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a series may be issued in whole or in part in book-entry form and may be represented by one or more fully registered global securities or in unregistered form with or without coupons.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debt securities in definitive registered form, a registered global security may not be transferred except as a whole:</w:t>
      </w:r>
    </w:p>
    <w:p>
      <w:pPr>
        <w:pStyle w:val="TextBody"/>
        <w:bidi w:val="0"/>
        <w:spacing w:before="0" w:after="0"/>
        <w:ind w:left="0" w:right="0" w:hanging="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depositary for such registered global security to its nominee;</w:t>
            </w:r>
          </w:p>
        </w:tc>
      </w:tr>
    </w:tbl>
    <w:p>
      <w:pPr>
        <w:pStyle w:val="TextBody"/>
        <w:bidi w:val="0"/>
        <w:spacing w:before="0" w:after="0"/>
        <w:ind w:left="72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nominee of the depositary to the depositary or another nominee of the depositary; or</w:t>
            </w:r>
          </w:p>
        </w:tc>
      </w:tr>
    </w:tbl>
    <w:p>
      <w:pPr>
        <w:pStyle w:val="TextBody"/>
        <w:bidi w:val="0"/>
        <w:spacing w:before="0" w:after="0"/>
        <w:ind w:left="72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depositary or its nominee to a successor of the depositary or a nominee of the successor.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registered debt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dealers, underwriters, or agents participating in the distribution of the debt securities represented by a registered global security will designate the accounts to be credited;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 in such registered global security will be shown on, and the transfer of such ownership interest will be effected only through, records maintained by the depositary for such registered global security for interests of participants, and on the records of participants for interests of persons holding through participants.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for a registered global security, or its nominee, is the registered owner of such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be entitled to have the debt securities represented by a registered global security registered in their names;</w:t>
            </w:r>
          </w:p>
        </w:tc>
      </w:tr>
    </w:tbl>
    <w:p>
      <w:pPr>
        <w:pStyle w:val="TextBody"/>
        <w:bidi w:val="0"/>
        <w:spacing w:before="0" w:after="0"/>
        <w:ind w:left="72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receive or be entitled to receive physical delivery of the debt securities in the definitive form; and</w:t>
            </w:r>
          </w:p>
        </w:tc>
      </w:tr>
    </w:tbl>
    <w:p>
      <w:pPr>
        <w:pStyle w:val="TextBody"/>
        <w:bidi w:val="0"/>
        <w:spacing w:before="0" w:after="0"/>
        <w:ind w:left="72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be considered the owners or holders of the debt securities under the relevant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us,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debt securities represented by a registered global security is at any time unwilling or unable to continue as depositary or stops being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who shall instruct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issue bearer debt securities of a series in the form of one or more global securities, referred to as “bearer global securities.” The prospectus supplement relating to a series of debt securities represented by a bearer global security will describe the applicable terms and procedures. These will include the specific terms of the depositary arrangement and any specific procedures for the issuance of debt securities in definitive form in exchange for a bearer global security, in proportion to the series represented by a bearer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discharge or decrease our obligations under the indenture as stated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sixty (60) days. We may effect a discharge by irrevocably depositing with the trustee cash or U.S. government obligations, as trust funds, in an amount certified to be enough to pay when due, whether at maturity, upon redemption or otherwise, the principal of, premium and interest, if any, on the debt securities and any mandatory sinking fund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irrevocably deposit with the trustee cash or U.S. government obligations, as trust funds, in an amount certified to be enough to pay at maturity, or upon redemption, the principal, premium and interest, if any, on all outstanding debt securities of the series;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and interest, if any, payments on the series of debt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subordinated debt securities, no event or condition shall exist that, based on the subordination provisions applicable to the series, would prevent us from making payments of principal of, premium and interest, if any, on any of the applicable subordinated debt securities at the date of the irrevocable deposit referred to above or at any time during the period ending on the 91st day after the deposit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and the trustee may enter into supplemental indentures without the consent of the holders of debt securities to:</w:t>
      </w:r>
    </w:p>
    <w:p>
      <w:pPr>
        <w:pStyle w:val="TextBody"/>
        <w:bidi w:val="0"/>
        <w:spacing w:before="0" w:after="0"/>
        <w:ind w:left="0" w:right="0" w:hanging="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17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any debt securities and provide the terms and conditions for the release or substitution of the security;</w:t>
            </w:r>
          </w:p>
        </w:tc>
      </w:tr>
    </w:tbl>
    <w:p>
      <w:pPr>
        <w:pStyle w:val="TextBody"/>
        <w:bidi w:val="0"/>
        <w:spacing w:before="0" w:after="0"/>
        <w:ind w:left="72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the assumption by a successor corporation of our obligations;</w:t>
            </w:r>
          </w:p>
        </w:tc>
      </w:tr>
    </w:tbl>
    <w:p>
      <w:pPr>
        <w:pStyle w:val="TextBody"/>
        <w:bidi w:val="0"/>
        <w:spacing w:before="0" w:after="0"/>
        <w:ind w:left="720" w:right="0" w:hanging="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covenants for the protection of the holders of debt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72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any additional events of default;</w:t>
            </w:r>
          </w:p>
        </w:tc>
      </w:tr>
    </w:tbl>
    <w:p>
      <w:pPr>
        <w:pStyle w:val="TextBody"/>
        <w:bidi w:val="0"/>
        <w:spacing w:before="0" w:after="0"/>
        <w:ind w:left="720" w:right="0" w:hanging="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cure any ambiguity or correct any inconsistency or defect in the indenture;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to, change or eliminate any of the provisions of the indenture in a manner that will become effective only when there is no outstanding debt security which is entitled to the benefit of the provision as to which the modification would apply;</w:t>
            </w:r>
          </w:p>
        </w:tc>
      </w:tr>
    </w:tbl>
    <w:p>
      <w:pPr>
        <w:pStyle w:val="TextBody"/>
        <w:bidi w:val="0"/>
        <w:spacing w:before="0" w:after="0"/>
        <w:ind w:left="720" w:right="0" w:hanging="0"/>
        <w:jc w:val="both"/>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the forms or terms of debt securities of any series;</w:t>
            </w:r>
          </w:p>
        </w:tc>
      </w:tr>
    </w:tbl>
    <w:p>
      <w:pPr>
        <w:pStyle w:val="TextBody"/>
        <w:bidi w:val="0"/>
        <w:spacing w:before="0" w:after="0"/>
        <w:ind w:left="72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eliminate any conflict between the terms of the indenture and the Trust Indenture Act of 1939;</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and provide for the acceptance of appointment by a successor trustee and add to or change any of the provisions of the indenture as is necessary for the administration of the trusts by more than one trustee;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also provides that we and the trustee may, with the consent of the holders of not less than a majority in aggregate principal amount of debt securities of all series of senior debt securities or of Subordinated Securities of equal ranking, as the case may be, then outstanding and affected,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pStyle w:val="TextBody"/>
        <w:bidi w:val="0"/>
        <w:spacing w:before="0" w:after="0"/>
        <w:ind w:left="0" w:right="0" w:hanging="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 the final maturity of any debt security;</w:t>
            </w:r>
          </w:p>
        </w:tc>
      </w:tr>
    </w:tbl>
    <w:p>
      <w:pPr>
        <w:pStyle w:val="TextBody"/>
        <w:bidi w:val="0"/>
        <w:spacing w:before="0" w:after="0"/>
        <w:ind w:left="720" w:right="0" w:hanging="0"/>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17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amount or premium, if any;</w:t>
            </w:r>
          </w:p>
        </w:tc>
      </w:tr>
    </w:tbl>
    <w:p>
      <w:pPr>
        <w:pStyle w:val="TextBody"/>
        <w:bidi w:val="0"/>
        <w:spacing w:before="0" w:after="0"/>
        <w:ind w:left="720"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rate or extend the time of payment of interest;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any amount payable on redemption or impair or affect any right of redemption at the option of the holder of the debt security;</w:t>
            </w:r>
          </w:p>
        </w:tc>
      </w:tr>
    </w:tbl>
    <w:p>
      <w:pPr>
        <w:pStyle w:val="TextBody"/>
        <w:bidi w:val="0"/>
        <w:spacing w:before="0" w:after="0"/>
        <w:ind w:left="72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currency in which the principal, premium or interest, if any, is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the principal of any debt security issued with an original issue discount that is payable upon acceleration or provable in bankruptcy;</w:t>
            </w:r>
          </w:p>
        </w:tc>
      </w:tr>
    </w:tbl>
    <w:p>
      <w:pPr>
        <w:pStyle w:val="TextBody"/>
        <w:bidi w:val="0"/>
        <w:spacing w:before="0" w:after="0"/>
        <w:ind w:left="0" w:right="0" w:hanging="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 provisions of the relevant indenture relating to the debt securities not denominated in U.S. dollars;</w:t>
            </w:r>
          </w:p>
        </w:tc>
      </w:tr>
    </w:tbl>
    <w:p>
      <w:pPr>
        <w:pStyle w:val="TextBody"/>
        <w:bidi w:val="0"/>
        <w:spacing w:before="0" w:after="0"/>
        <w:ind w:left="72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the right to institute suit for the enforcement of any payment on any debt security when due;</w:t>
            </w:r>
          </w:p>
        </w:tc>
      </w:tr>
    </w:tbl>
    <w:p>
      <w:pPr>
        <w:pStyle w:val="TextBody"/>
        <w:bidi w:val="0"/>
        <w:spacing w:before="0" w:after="0"/>
        <w:ind w:left="720" w:right="0" w:hanging="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adversely affect the right of a holder to convert or exchange a debt security;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of any series whose consent is required for any modification of the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holders of not less than a majority in aggregate principal amount of the then outstanding debt securities of any and all affected series of equal ranking, by notice to the relevant trustee, may on behalf of the holders of the debt securities of any and all such series of equal ranking waive any default and its consequences under the indenture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continuing default in the payment of interest on, premium, if any, or principal of, any such debt security held by a non-consenting holder;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respect of a covenant or provision of the indenture that cannot be modified or amended without the consent of the holder of each outstanding debt security of each series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premium and interest, if any, on, and all registration, transfer, exchange, authentication and delivery of, the debt securities of a series will be effected by the trustee for that series at an office designated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any and all affected series of debt securities of equal ranking then outstanding will have the right to direct the time, method and place of conducting any proceeding for exercising any remedy available to the trustee concerning the applicable series of debt securities, provided that the direction:</w:t>
      </w:r>
    </w:p>
    <w:p>
      <w:pPr>
        <w:pStyle w:val="TextBody"/>
        <w:bidi w:val="0"/>
        <w:spacing w:before="0" w:after="0"/>
        <w:ind w:left="0" w:right="0" w:hanging="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conflict with any rule of law or with the relevant indenture;</w:t>
            </w:r>
          </w:p>
        </w:tc>
      </w:tr>
    </w:tbl>
    <w:p>
      <w:pPr>
        <w:pStyle w:val="TextBody"/>
        <w:bidi w:val="0"/>
        <w:spacing w:before="0" w:after="0"/>
        <w:ind w:left="72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be unduly prejudicial to the rights of another holder of the debt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involve any trustee in personal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in case an Event of Default shall occur, not be cured and be known to any trustee, the trustee must use the same degree of care as a prudent person would use in the conduct of his or her own affairs in the exercise of the trustee’s power. The trustee will be under no obligation to exercise any of its rights or powers under the indenture at the request of any of the holders of the debt securities, unless they shall have offered to the trustee security and indemnity satisfactory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Individual Liability of Incorporators, Stockholders, Officers 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debt security thereunder, or for any claim based thereon or otherwise in respect thereof, shall be had against any incorporator, stockholder, officer or director, as such, past, present or future, of the Company or of any successor corporation, either directly or through the Company, whether by virtue of any constitution, statute or rule of law, or by the enforcement of any assessment or penalty or otherwise; it being expressly understood that this Indenture and the obligations issued hereunder are solely corporate obligations of the Company, and that no such personal liability whatever shall attach to, or is or shall be incurred by, the incorporators, stockholders, officers or directors, as such, of the Company or of any successor corporation, or any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9"/>
      <w:bookmarkEnd w:id="19"/>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Ordinary Shares, preferred shares, and/or debt securities in one or more series. We may issue warrants independently or together with our Ordinary Shares, preferred shares and/or debt securities, and the warrants may be attached to or traded separate and apart from these securities. Each series of warrants will be issued under a warrant agreement as set forth in the prospectus supplement. The applicable prospectus supplement or term sheet will describe the terms of the warrants offered thereby, any warrant agreement relating to such warrants and the warrant certificates,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warrants;</w:t>
            </w:r>
          </w:p>
        </w:tc>
      </w:tr>
    </w:tbl>
    <w:p>
      <w:pPr>
        <w:pStyle w:val="TextBody"/>
        <w:bidi w:val="0"/>
        <w:spacing w:before="0" w:after="0"/>
        <w:ind w:left="720" w:right="0" w:hanging="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or prices of the warrants, if any;</w:t>
            </w:r>
          </w:p>
        </w:tc>
      </w:tr>
    </w:tbl>
    <w:p>
      <w:pPr>
        <w:pStyle w:val="TextBody"/>
        <w:bidi w:val="0"/>
        <w:spacing w:before="0" w:after="0"/>
        <w:ind w:left="72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or maximum amount of the warrants which may be exercised at any one time;</w:t>
            </w:r>
          </w:p>
        </w:tc>
      </w:tr>
    </w:tbl>
    <w:p>
      <w:pPr>
        <w:pStyle w:val="TextBody"/>
        <w:bidi w:val="0"/>
        <w:spacing w:before="0" w:after="0"/>
        <w:ind w:left="72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currency units in which the offering price, if any, and the exercise price are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securities, if any, with which such warrants are being offered and the number of such warrants being offered with each security;</w:t>
            </w:r>
          </w:p>
        </w:tc>
      </w:tr>
    </w:tbl>
    <w:p>
      <w:pPr>
        <w:pStyle w:val="TextBody"/>
        <w:bidi w:val="0"/>
        <w:spacing w:before="0" w:after="0"/>
        <w:ind w:left="72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and after which such warrants and the related securities, if any, will be transferable separately;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securities purchasable upon exercise of each warrant and the price at which the securities may be purchased upon such exercise, and events or conditions under which the amount of securities may be subject to adjustment;</w:t>
            </w:r>
          </w:p>
        </w:tc>
      </w:tr>
    </w:tbl>
    <w:p>
      <w:pPr>
        <w:pStyle w:val="TextBody"/>
        <w:bidi w:val="0"/>
        <w:spacing w:before="0" w:after="0"/>
        <w:ind w:left="720" w:right="0" w:hanging="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shall commence and the date on which such right shall expire;</w:t>
            </w:r>
          </w:p>
        </w:tc>
      </w:tr>
    </w:tbl>
    <w:p>
      <w:pPr>
        <w:pStyle w:val="TextBody"/>
        <w:bidi w:val="0"/>
        <w:spacing w:before="0" w:after="0"/>
        <w:ind w:left="72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circumstances, if any, which will cause the warrants to be deemed to be automatically exercised;</w:t>
            </w:r>
          </w:p>
        </w:tc>
      </w:tr>
    </w:tbl>
    <w:p>
      <w:pPr>
        <w:pStyle w:val="TextBody"/>
        <w:bidi w:val="0"/>
        <w:spacing w:before="0" w:after="0"/>
        <w:ind w:left="720" w:right="0" w:hanging="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risk factors, if any, relating to such warrants;</w:t>
            </w:r>
          </w:p>
        </w:tc>
      </w:tr>
    </w:tbl>
    <w:p>
      <w:pPr>
        <w:pStyle w:val="TextBody"/>
        <w:bidi w:val="0"/>
        <w:spacing w:before="0" w:after="0"/>
        <w:ind w:left="720" w:right="0" w:hanging="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identity of any warrant agent; and</w:t>
            </w:r>
          </w:p>
        </w:tc>
      </w:tr>
    </w:tbl>
    <w:p>
      <w:pPr>
        <w:pStyle w:val="TextBody"/>
        <w:bidi w:val="0"/>
        <w:spacing w:before="0" w:after="0"/>
        <w:ind w:left="720" w:right="0" w:hanging="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material terms of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holders of such warrants will not have any rights of holders of the securities purchasable upon such exercise, including the right to receive payments of dividends or the right to vote such underlying securities. Prospective purchasers of warrants should be aware that material U.S. federal income tax, accounting and other considerations may be applicable to instruments such as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0"/>
      <w:bookmarkEnd w:id="20"/>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Ordinary Shares, preferred shares, debt securities or other securities. Rights may be issued independently or together with any other offered security and may or may not be transferable by the person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security holders entitled to the rights distribution;</w:t>
            </w:r>
          </w:p>
        </w:tc>
      </w:tr>
    </w:tbl>
    <w:p>
      <w:pPr>
        <w:pStyle w:val="TextBody"/>
        <w:bidi w:val="0"/>
        <w:spacing w:before="0" w:after="0"/>
        <w:ind w:left="720" w:right="0" w:hanging="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rights issued and the aggregate amount of securities purchasable upon exercise of the rights;</w:t>
            </w:r>
          </w:p>
        </w:tc>
      </w:tr>
    </w:tbl>
    <w:p>
      <w:pPr>
        <w:pStyle w:val="TextBody"/>
        <w:bidi w:val="0"/>
        <w:spacing w:before="0" w:after="0"/>
        <w:ind w:left="720" w:right="0" w:hanging="0"/>
        <w:jc w:val="left"/>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the rights;</w:t>
            </w:r>
          </w:p>
        </w:tc>
      </w:tr>
    </w:tbl>
    <w:p>
      <w:pPr>
        <w:pStyle w:val="TextBody"/>
        <w:bidi w:val="0"/>
        <w:spacing w:before="0" w:after="0"/>
        <w:ind w:left="72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completion of the rights offering;</w:t>
            </w:r>
          </w:p>
        </w:tc>
      </w:tr>
    </w:tbl>
    <w:p>
      <w:pPr>
        <w:pStyle w:val="TextBody"/>
        <w:bidi w:val="0"/>
        <w:spacing w:before="0" w:after="0"/>
        <w:ind w:left="720" w:right="0" w:hanging="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rights will commence and the date on which the right will expire;</w:t>
            </w:r>
          </w:p>
        </w:tc>
      </w:tr>
    </w:tbl>
    <w:p>
      <w:pPr>
        <w:pStyle w:val="TextBody"/>
        <w:bidi w:val="0"/>
        <w:spacing w:before="0" w:after="0"/>
        <w:ind w:left="72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7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the material Cayman Islands or United States federal income tax considerations applicable to the issuance or exercise of such subscription rights;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rights, including terms, procedures and limitations relating to the exchange and exercise of the rights;</w:t>
            </w:r>
          </w:p>
        </w:tc>
      </w:tr>
    </w:tbl>
    <w:p>
      <w:pPr>
        <w:pStyle w:val="TextBody"/>
        <w:bidi w:val="0"/>
        <w:spacing w:before="0" w:after="0"/>
        <w:ind w:left="72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rights include an over-subscription privilege with respect to unsubscribed securities;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any standby underwriting agreement or other arrangement entered into by us in connection with the rights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1"/>
      <w:bookmarkEnd w:id="21"/>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 and</w:t>
            </w:r>
          </w:p>
        </w:tc>
      </w:tr>
    </w:tbl>
    <w:p>
      <w:pPr>
        <w:pStyle w:val="TextBody"/>
        <w:bidi w:val="0"/>
        <w:spacing w:before="0" w:after="0"/>
        <w:ind w:left="720" w:right="0" w:hanging="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terms of the governing unit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12"/>
      <w:bookmarkEnd w:id="22"/>
      <w:r>
        <w:rPr>
          <w:rFonts w:ascii="Times New Roman;Times;Serif" w:hAnsi="Times New Roman;Times;Serif"/>
          <w:b/>
          <w:i w:val="false"/>
          <w:caps w:val="false"/>
          <w:smallCaps w:val="false"/>
          <w:sz w:val="20"/>
        </w:rPr>
        <w:t>SELLING SHAREHOLDER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shareholder listed in the table below, of up to 2,960,000 Ordinary Shares. These shares were acquired by the selling shareholder in 2022 through a private transaction consummated prior to our initial public offering in September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the selling shareholder may from time to time offer and sell any or all of the Ordinary Shares set forth below. When we refer to the “selling shareholder” in this prospectus, we mean the selling shareholder listed in the table below and the pledgees, donees, transferees, assignees, successors and others who later come to hold any of the selling shareholder’s interest in such Ordinary Shares other than through a public sale.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is based on information supplied to us by the selling shareholder and sets forth, as of October 24, 2024, information regarding the selling shareholder’s beneficial ownership of our Ordinary Shares offered by it. Beneficial ownership is determined in accordance with the rules of the SEC. In computing the number of Ordinary Shares beneficially owned by the selling shareholder and the percentage of ownership of such selling shareholder, Ordinary Shares and underlying shares of convertible securities, options or warrants held by such selling shareholder that are convertible or exercisable, as the case may be, within 60 days of October 24, 2024 are included. The selling shareholder’s percentage of ownership in the following table is based upon 15,980,000 Ordinary Shares of the Company outstanding as of October 24, 2024.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2"/>
        <w:gridCol w:w="60"/>
        <w:gridCol w:w="132"/>
        <w:gridCol w:w="1893"/>
        <w:gridCol w:w="61"/>
        <w:gridCol w:w="61"/>
        <w:gridCol w:w="121"/>
        <w:gridCol w:w="984"/>
        <w:gridCol w:w="185"/>
        <w:gridCol w:w="60"/>
        <w:gridCol w:w="65"/>
        <w:gridCol w:w="934"/>
        <w:gridCol w:w="60"/>
        <w:gridCol w:w="60"/>
        <w:gridCol w:w="625"/>
        <w:gridCol w:w="1310"/>
        <w:gridCol w:w="130"/>
        <w:gridCol w:w="130"/>
        <w:gridCol w:w="388"/>
        <w:gridCol w:w="832"/>
        <w:gridCol w:w="82"/>
      </w:tblGrid>
      <w:tr>
        <w:trPr/>
        <w:tc>
          <w:tcPr>
            <w:tcW w:w="203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the Offering</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the Offering</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Shareholder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Ordinary Shares Beneficially Owned</w:t>
            </w:r>
            <w:r>
              <w:rPr>
                <w:rFonts w:ascii="Times New Roman;Times;Serif" w:hAnsi="Times New Roman;Times;Serif"/>
                <w:b/>
                <w:i w:val="false"/>
                <w:caps w:val="false"/>
                <w:smallCaps w:val="false"/>
                <w:position w:val="7"/>
                <w:sz w:val="16"/>
                <w:sz w:val="20"/>
              </w:rPr>
              <w:t>(1)</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Outstanding</w:t>
              <w:br/>
              <w:t>Ordinary</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Ordinary</w:t>
              <w:br/>
              <w:t>Shares Being</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Ordinary Shares Beneficially Owned</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br/>
              <w:t>Outstanding</w:t>
              <w:br/>
              <w:t>Ordinary Shares</w:t>
            </w:r>
          </w:p>
        </w:tc>
        <w:tc>
          <w:tcPr>
            <w:tcW w:w="8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Vulcan Worldwide Holdings Limited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2,960,000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the selling shareholder, which information may not be accurate as of the date hereof. We have determined beneficial ownership in accordance with the rules of the SEC. Except as indicated by the footnotes below, we believe, based on the information furnished to us, that the selling shareholder named in the table above has sole voting and investment power with respect to all ordinary shares that it beneficially owns.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Vulcan Worldwide Holdings Limited is incorporated in the British Virgin Islands. Xiaohang Zhang, the sole director and sole shareholder, has sole voting and investment power over the Ordinary Shares held by Vulcan Worldwide Holdings Limited.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these Ordinary Shares does not mean that the selling shareholder will sell or otherwise dispose of all or any of those securities. The selling shareholder may sell or otherwise dispose of all, a portion or none of such shares from time to time. We do not know the number of Ordinary Shares, if any, that will be offered for sale or other disposition by the selling shareholder under this prospectus. Furthermore, the selling shareholder may have sold, transferred or disposed of the Ordinary Shares covered hereby in transactions exempt from the registration requirements of the Securities Act since the date on which we filed this prospectus.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sales by the selling shareholder. We have agreed to bear expenses incurred by the selling shareholder that relate to the registration of the Ordinary Shares being offered and sold by the selling shareholder, including the SEC registration fee and legal, accounting, printing and other expenses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3"/>
      <w:bookmarkEnd w:id="23"/>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recent Annual Report on Form 20-F provides a discussion of certain tax considerations that may be relevant to prospective investors in our securities. The applicable prospectus supplement may also contain information about certain material tax considerations relating to the securities covered by such prospectus supplement. You should consult your own tax advisors prior to acquiring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4"/>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 as applicable, may sell the securities offered by this prospectus in any one or more of the following ways (or in any combination) from time to time:</w:t>
      </w:r>
    </w:p>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investors, including through privately negotiated transactions, a specific bidding, auction or other process;</w:t>
            </w:r>
          </w:p>
        </w:tc>
      </w:tr>
    </w:tbl>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investors 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agents;</w:t>
            </w:r>
          </w:p>
        </w:tc>
      </w:tr>
    </w:tbl>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 or dealers;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within the meaning of the Rule 415(a)(4) of the Securities Act, to or through a market maker or into an existing trading market on an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 permitted by applicable law and described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will set forth the terms of the offering and the method of distribution and will identify any firms acting as underwriters, dealers or agents in connection with the offering, including:</w:t>
      </w:r>
    </w:p>
    <w:p>
      <w:pPr>
        <w:pStyle w:val="TextBody"/>
        <w:bidi w:val="0"/>
        <w:spacing w:before="0" w:after="0"/>
        <w:ind w:left="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any underwriters, dealers or agents;</w:t>
            </w:r>
          </w:p>
        </w:tc>
      </w:tr>
    </w:tbl>
    <w:p>
      <w:pPr>
        <w:pStyle w:val="TextBody"/>
        <w:bidi w:val="0"/>
        <w:spacing w:before="0" w:after="0"/>
        <w:ind w:left="0" w:right="0" w:hanging="0"/>
        <w:jc w:val="left"/>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 and the proceeds to us from the sale, if any;</w:t>
            </w:r>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over-allotment options under which underwriters may purchase additional securities from us;</w:t>
            </w:r>
          </w:p>
        </w:tc>
      </w:tr>
    </w:tbl>
    <w:p>
      <w:pPr>
        <w:pStyle w:val="TextBody"/>
        <w:bidi w:val="0"/>
        <w:spacing w:before="0" w:after="0"/>
        <w:ind w:left="0" w:right="0" w:hanging="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other items constituting compensation to underwriters, dealers or agents;</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any discounts or concessions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offered in the prospectus supplement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 Only those underwriters identified in such prospectus supplement are deemed to be underwriters in connection with the securities offered in the prospectus supplement. Any underwritten offering may be on a best efforts or a firm commitment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securities, underwriters or agents may receive compensation (in the form of discounts, concessions or commissions) from us, the selling shareholder or from purchasers of securities for whom they may act as agents.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as that term is defined in the Securities Act, and any discounts allowed or commissions paid, and any profit on the resale of the securities they realize may be deemed to be underwriting discounts and commissions under the Securities Act. Any person who may be deemed to be an underwriter will be identified, and the compensation received from us will be described, in the prospectus supplement. Maximum compensation to any underwriters, dealers or agents will not exceed any applicable Financial Industry Regulatory Authority, Inc. (“FINRA”)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entitled to indemnification by us or the selling shareholder against some civil liabilities, including liabilities under the Securities Act, or to contributions with respect to payments which the underwriters or agents may be required to make relating to these liabilities. Underwriters and agents may be customers of, engage in transactions with, or perform services for us or the selling shareholder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related prospectus supplement, each series of securities will be a new issue with no established trading market, other than our Ordinary Shares, which are listed on the Nasdaq Capital Market. Any Ordinary Shares sold pursuant to a prospectus supplement will be listed on the Nasdaq Capital Market, subject to official notice of issuance. We may elect to list any preferred shares, warrants, debt securities, rights, or units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us or the selling shareholder from the sale of the securities will be the purchase price of our securities less discounts or commissions, if any. We and the selling shareholder reserve the right to accept and, together with our agents from time to time, to reject, in whole or in part, any proposed purchase of our securities to be made directly or through agents. We will not receive any of the proceeds from any offering by the selling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the securities offered by us or the selling shareholder, certain persons participating in the offering may engage in transactions that stabilize, maintain or otherwise affect the price of our securities.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our securities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our securities at a level above that which might otherwise prevail in the open market. These transactions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from time to time, pledge or grant a security interest in some of the Ordinary Shares owned by them and, if the selling shareholder defaults in the performance of their secured obligations, the pledgees or secured parties may offer and sell the Ordinary Shares, from time to time, under this prospectus, or under an amendment or supplement to this prospectus amending the list of the selling shareholder to include the pledgee, transferee or other successors in interest as the selling shareholder under this prospectus. The selling shareholder also may transfer the Ordinary Shares in other circumstances, in which case the transferees,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use this prospectus in connection with resales of the Ordinary Shares. The selling shareholder may be deemed to be an underwriter under the Securities Act in connection with the Ordinary Shares they resell and any profits on the sales may be deemed to be underwriting discounts and commissions under the Securities Act. Unless otherwise set forth in a prospectus supplement, the selling shareholder will receive all the net proceeds from the resale of the Ordinary Shares sold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selling shareholder also may in the future resell a portion of the Ordinary Shares in open market transactions in reliance upon Rule 144 under the Securities Act, provided that they meet the criteria and conform to the requirements of that rule, or pursuant to other available exemptions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5"/>
      <w:bookmarkEnd w:id="25"/>
      <w:r>
        <w:rPr>
          <w:rFonts w:ascii="Times New Roman;Times;Serif" w:hAnsi="Times New Roman;Times;Serif"/>
          <w:b/>
          <w:i w:val="false"/>
          <w:caps w:val="false"/>
          <w:smallCaps w:val="false"/>
          <w:sz w:val="20"/>
        </w:rPr>
        <w:t>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We will bear all of the expenses shown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80" w:type="dxa"/>
        <w:jc w:val="left"/>
        <w:tblInd w:w="0" w:type="dxa"/>
        <w:tblLayout w:type="fixed"/>
        <w:tblCellMar>
          <w:top w:w="0" w:type="dxa"/>
          <w:left w:w="0" w:type="dxa"/>
          <w:bottom w:w="0" w:type="dxa"/>
          <w:right w:w="0" w:type="dxa"/>
        </w:tblCellMar>
      </w:tblPr>
      <w:tblGrid>
        <w:gridCol w:w="2675"/>
        <w:gridCol w:w="60"/>
        <w:gridCol w:w="125"/>
        <w:gridCol w:w="845"/>
        <w:gridCol w:w="75"/>
      </w:tblGrid>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registration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31,873.03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fees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agent fees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securities and number of offerings are indeterminable, and the expenses cannot be estimated at this time. The applicable prospectus supplement will set forth the estimated aggregate amount of expenses payable in respect of any offering of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6"/>
      <w:bookmarkEnd w:id="2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certain legal matters in connection with the securities offered pursuant to this prospectus will be passed upon for us by Conyers Dill &amp; Pearman to the extent governed by the laws of the Cayman Islands, and by Bevilacqua PLLC to the extent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7"/>
      <w:bookmarkEnd w:id="27"/>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March 31, 2024, 2023 and 2022, and for the years then ended incorporated in this prospectus by reference to the Annual Report on Form 20-F for the year ended March 31, 2024 have been so incorporated in reliance on the report of WWC, P.C.,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WWC, P.C. are located at 2010 Pioneer Court, San Mateo, CA 94403.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8"/>
      <w:bookmarkEnd w:id="28"/>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Insofar as indemnification by us for liabilities arising under the Securities Act may be permitted to our directors, officers or persons controlling the company pursuant to provisions of our constitution, or otherwise, we have been advised that in the opinion of the SEC, such indemnification is against public policy as expressed in the Securities Act and is therefore unenforceable. In the event that a claim for indemnification by such director, officer or controlling person of us in the successful defense of any action, suit or proceeding is asserted by such director, officer or controlling person in connection with the securities being offered,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9"/>
      <w:bookmarkEnd w:id="29"/>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Cayman Islands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incorporated under the laws of the Cayman Islands as an exempted company with limited liability. It is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federal courts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constitutional documents do not contain provisions requiring that disputes, including those arising under the securities laws of the United States, between the company, its officers, directors and shareholders, be subject to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all of our directors and executive officers are nationals or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the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Cayman Islands would (i) recognize or enforce judgments of U.S. courts obtained against us or the directors or officers that are predicated upon the civil liability provisions of the securities laws of the United States or any state in the United States, or (ii) entertain original actions brought in the Cayman Islands against us or the directors or officers that are predicated upon the securities laws of the United States or any state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Times;Serif" w:hAnsi="Times New Roman;Times;Serif"/>
          <w:b w:val="false"/>
          <w:i/>
          <w:caps w:val="false"/>
          <w:smallCaps w:val="false"/>
          <w:sz w:val="20"/>
        </w:rPr>
        <w:t xml:space="preserve">in personam </w:t>
      </w:r>
      <w:r>
        <w:rPr>
          <w:rFonts w:ascii="Times New Roman;Times;Serif" w:hAnsi="Times New Roman;Times;Serif"/>
          <w:b w:val="false"/>
          <w:i w:val="false"/>
          <w:caps w:val="false"/>
          <w:smallCaps w:val="false"/>
          <w:sz w:val="20"/>
        </w:rPr>
        <w:t xml:space="preserve">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Hong Kong would recognize or enforce judgments of U.S. courts obtained against us or our directors or officers predicated upon the civil liability provisions of the securities laws of the United States or any state in the United States, but Hong Kong courts do not entertain original actions brought in Hong Kong against us or our directors or officers predicated upon the securities laws of the United States or any state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monetary sum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has no arrangement for the reciprocal enforcement of judgments with the United States. As a result, there is uncertainty as to the enforceability in Hong Kong in actions for enforcement of judgments of U.S. courts of civil liabilities predicated solely upon the federal securities laws of the United States or the securities laws of any state or territory within the United States, whereas original actions predicated solely upon the federal securities laws of the United States or the securities laws of any state or territory within the United States would not be entertained by Hong Kong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agent for service of process in the United States is Cogency Global Inc.,122 East 42nd Street, 18th Floor, New York, NY 10168, (800) 221-0102.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20"/>
      <w:bookmarkEnd w:id="30"/>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in this prospectus, there have been no reportable material changes that have occurred since March 31, 2024, and that have not been described in a report on Form 6-K furnished under the Exchange Act and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21"/>
      <w:bookmarkEnd w:id="3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registering the securities that may be offered and sold hereunder.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are required to file reports and other information with the SEC pursuant to the Exchange Act, including annual reports on Form 20-F and reports on Form 6-K.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that contains reports and other information regarding issuers, like us, that file electronically with the SEC. The address of the website is www.sec.gov. The information on our website (https://www.solomonwin.com.hk), other than our SEC filings, is not, and should not be, considered part of this prospectus and is not incorporated by reference into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22"/>
      <w:bookmarkEnd w:id="32"/>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into this prospectus. This means that we can disclose important information about us and our financial condition to you by referring you to another document filed separately with the SEC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into this prospectus the information contained in the documents listed below and any future filings made by us with the SEC under Section 13(a), 13(c) or 15(d) of the Exchange Act, except for information “furnished” to the SEC which is not deemed filed and not incorporated by reference into this prospectus (unless otherwise indicated below), until the termination of the offering of securities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Annual Report on </w:t>
            </w:r>
            <w:hyperlink r:id="rId1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March 31, 2024, filed with the SEC on July 26, 2024;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Ordinary Shares contained in the Company’s Registration Statement on </w:t>
            </w:r>
            <w:hyperlink r:id="rId1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001-41776) filed with the SEC on August 9, 2023, pursuant to Section 12(b) of the Exchange Act,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annual reports on Form 20-F we file with the SEC under the Exchange Act after the date of this prospectus and prior to the termination of the offering of securities by means of this prospectus, and any future reports of foreign private issuer on Form 6-K we furnish with the SEC during such period that are identified in such reports as being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reports filed by us with the SEC after the date of this prospectus and before the date that the offering of securities by means of this prospectus is terminated will automatically update and, where applicable, supersede any information contained in this prospectus or incorporated by reference in this prospectus. This means that you must look at all of the SEC filings that we incorporate by reference to determine if any of the statements in this prospectus or in any documents incorporated by reference have been modified or superseded. Unless expressly incorporated by reference, nothing in this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this prospectus is delivered, upon oral or written request, a copy of any document incorporated by reference in this prospectus but not delivered with the prospectus (except for exhibits to those documents unless a document states that one of its exhibits is incorporated into the document itself). Such request should be directed to: SOLOWIN HOLDINGS, Room 1910-1912A, Tower 3, China Hong Kong City, 33 Canton Road, Tsim Sha Tsui, Kowloon, Hong Kong, and telephone number +852 3428-3893.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00175" cy="1047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1400175" cy="1047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2,960,000 Ordinary Shares Offered by the Selling Shareholder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ix?doc=/Archives/edgar/data/0001959224/000121390026084178/ea0298409-20f_solowin.htm" TargetMode="External"/><Relationship Id="rId5" Type="http://schemas.openxmlformats.org/officeDocument/2006/relationships/hyperlink" Target="https://www.sec.gov/Archives/edgar/data/1959224/000121390026092641/ea0303037-6k_solowin.htm" TargetMode="External"/><Relationship Id="rId6" Type="http://schemas.openxmlformats.org/officeDocument/2006/relationships/hyperlink" Target="https://www.sec.gov/Archives/edgar/data/1959224/000121390026101769/ea0306103-6k_solowin.htm" TargetMode="External"/><Relationship Id="rId7" Type="http://schemas.openxmlformats.org/officeDocument/2006/relationships/hyperlink" Target="http://www.sec.gov/Archives/edgar/data/1959224/000121390026106393/ea0307299-6k_solowin.htm" TargetMode="External"/><Relationship Id="rId8" Type="http://schemas.openxmlformats.org/officeDocument/2006/relationships/hyperlink" Target="https://www.sec.gov/Archives/edgar/data/1959224/000121390026110714/ea0308490-6k_solowin.htm" TargetMode="External"/><Relationship Id="rId9" Type="http://schemas.openxmlformats.org/officeDocument/2006/relationships/hyperlink" Target="https://www.sec.gov/Archives/edgar/data/1959224/000121390026111760/ea0306964-6k_solowin.htm" TargetMode="External"/><Relationship Id="rId10" Type="http://schemas.openxmlformats.org/officeDocument/2006/relationships/hyperlink" Target="https://www.sec.gov/Archives/edgar/data/1959224/000121390026084178/ea029840901ex2-1.htm" TargetMode="External"/><Relationship Id="rId11" Type="http://schemas.openxmlformats.org/officeDocument/2006/relationships/hyperlink" Target="http://www.sec.gov/ix?doc=/Archives/edgar/data/0001959224/000121390026084178/ea0298409-20f_solowin.htm" TargetMode="External"/><Relationship Id="rId12" Type="http://schemas.openxmlformats.org/officeDocument/2006/relationships/image" Target="media/image1.jpeg"/><Relationship Id="rId13" Type="http://schemas.openxmlformats.org/officeDocument/2006/relationships/image" Target="media/image3.jpeg"/><Relationship Id="rId14" Type="http://schemas.openxmlformats.org/officeDocument/2006/relationships/hyperlink" Target="https://www.sec.gov/ix?doc=/Archives/edgar/data/1959224/000101376224001683/ea0209715-20f_solowin.htm" TargetMode="External"/><Relationship Id="rId15" Type="http://schemas.openxmlformats.org/officeDocument/2006/relationships/hyperlink" Target="http://www.sec.gov/Archives/edgar/data/1959224/000121390023064664/ea183101-8a12b_solowin.htm" TargetMode="External"/><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60934</Words>
  <Characters>327454</Characters>
  <CharactersWithSpaces>388546</CharactersWithSpaces>
  <Paragraphs>2871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