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952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95249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Lok Ling Ngai</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Solowin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AXG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SOLOWIN HOLDINGS</w:t>
      </w:r>
    </w:p>
    <w:p>
      <w:pPr>
        <w:spacing w:after="0" w:line="70" w:lineRule="exact"/>
        <w:rPr>
          <w:sz w:val="24"/>
          <w:szCs w:val="24"/>
          <w:color w:val="auto"/>
        </w:rPr>
      </w:pPr>
    </w:p>
    <w:p>
      <w:pPr>
        <w:ind w:left="140" w:right="1477"/>
        <w:spacing w:after="0" w:line="275" w:lineRule="auto"/>
        <w:rPr>
          <w:sz w:val="20"/>
          <w:szCs w:val="20"/>
          <w:color w:val="auto"/>
        </w:rPr>
      </w:pPr>
      <w:r>
        <w:rPr>
          <w:rFonts w:ascii="Times New Roman" w:cs="Times New Roman" w:eastAsia="Times New Roman" w:hAnsi="Times New Roman"/>
          <w:sz w:val="20"/>
          <w:szCs w:val="20"/>
          <w:color w:val="0000FF"/>
        </w:rPr>
        <w:t>33 CANTON ROAD, TSIM SHA TSUI, KOWLOON</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HONG</w:t>
            </w:r>
          </w:p>
        </w:tc>
        <w:tc>
          <w:tcPr>
            <w:tcW w:w="8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K3</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00000</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KONG</w:t>
            </w:r>
          </w:p>
        </w:tc>
        <w:tc>
          <w:tcPr>
            <w:tcW w:w="8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83"/>
        <w:spacing w:after="0"/>
        <w:rPr>
          <w:sz w:val="20"/>
          <w:szCs w:val="20"/>
          <w:color w:val="auto"/>
        </w:rPr>
      </w:pPr>
      <w:r>
        <w:rPr>
          <w:rFonts w:ascii="Times New Roman" w:cs="Times New Roman" w:eastAsia="Times New Roman" w:hAnsi="Times New Roman"/>
          <w:sz w:val="20"/>
          <w:szCs w:val="20"/>
          <w:color w:val="0000FF"/>
        </w:rPr>
        <w:t>CEO and Chairman</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4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2740" w:type="dxa"/>
            <w:vAlign w:val="bottom"/>
            <w:tcBorders>
              <w:bottom w:val="single" w:sz="8" w:color="2C2C2C"/>
            </w:tcBorders>
          </w:tcPr>
          <w:p>
            <w:pPr>
              <w:jc w:val="right"/>
              <w:ind w:right="1076"/>
              <w:spacing w:after="0"/>
              <w:rPr>
                <w:sz w:val="20"/>
                <w:szCs w:val="20"/>
                <w:color w:val="auto"/>
              </w:rPr>
            </w:pPr>
            <w:r>
              <w:rPr>
                <w:rFonts w:ascii="Times New Roman" w:cs="Times New Roman" w:eastAsia="Times New Roman" w:hAnsi="Times New Roman"/>
                <w:sz w:val="20"/>
                <w:szCs w:val="20"/>
                <w:color w:val="0000FF"/>
              </w:rPr>
              <w:t>23,331,598</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0"/>
                <w:szCs w:val="20"/>
                <w:color w:val="0000FF"/>
              </w:rPr>
              <w:t>I</w:t>
            </w: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VAST SPACE LIMITED</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4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2740" w:type="dxa"/>
            <w:vAlign w:val="bottom"/>
            <w:tcBorders>
              <w:bottom w:val="single" w:sz="8" w:color="2C2C2C"/>
            </w:tcBorders>
          </w:tcPr>
          <w:p>
            <w:pPr>
              <w:jc w:val="right"/>
              <w:ind w:right="1076"/>
              <w:spacing w:after="0"/>
              <w:rPr>
                <w:sz w:val="20"/>
                <w:szCs w:val="20"/>
                <w:color w:val="auto"/>
              </w:rPr>
            </w:pPr>
            <w:r>
              <w:rPr>
                <w:rFonts w:ascii="Times New Roman" w:cs="Times New Roman" w:eastAsia="Times New Roman" w:hAnsi="Times New Roman"/>
                <w:sz w:val="20"/>
                <w:szCs w:val="20"/>
                <w:color w:val="0000FF"/>
              </w:rPr>
              <w:t>23,331,599</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By WELL INSIGHT LIMITED</w:t>
            </w:r>
            <w:r>
              <w:rPr>
                <w:rFonts w:ascii="Times New Roman" w:cs="Times New Roman" w:eastAsia="Times New Roman" w:hAnsi="Times New Roman"/>
                <w:sz w:val="25"/>
                <w:szCs w:val="25"/>
                <w:color w:val="008000"/>
                <w:vertAlign w:val="superscript"/>
              </w:rPr>
              <w:t>(2)</w:t>
            </w:r>
          </w:p>
        </w:tc>
      </w:tr>
      <w:tr>
        <w:trPr>
          <w:trHeight w:val="259"/>
        </w:trPr>
        <w:tc>
          <w:tcPr>
            <w:tcW w:w="20" w:type="dxa"/>
            <w:vAlign w:val="bottom"/>
            <w:tcBorders>
              <w:top w:val="single" w:sz="8" w:color="808080"/>
            </w:tcBorders>
          </w:tcPr>
          <w:p>
            <w:pPr>
              <w:spacing w:after="0"/>
              <w:rPr>
                <w:sz w:val="22"/>
                <w:szCs w:val="22"/>
                <w:color w:val="auto"/>
              </w:rPr>
            </w:pPr>
          </w:p>
        </w:tc>
        <w:tc>
          <w:tcPr>
            <w:tcW w:w="8140" w:type="dxa"/>
            <w:vAlign w:val="bottom"/>
            <w:tcBorders>
              <w:top w:val="single" w:sz="8" w:color="2C2C2C"/>
            </w:tcBorders>
            <w:gridSpan w:val="3"/>
          </w:tcPr>
          <w:p>
            <w:pPr>
              <w:ind w:left="31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6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r>
      <w:tr>
        <w:trPr>
          <w:trHeight w:val="269"/>
        </w:trPr>
        <w:tc>
          <w:tcPr>
            <w:tcW w:w="20" w:type="dxa"/>
            <w:vAlign w:val="bottom"/>
          </w:tcPr>
          <w:p>
            <w:pPr>
              <w:spacing w:after="0"/>
              <w:rPr>
                <w:sz w:val="23"/>
                <w:szCs w:val="23"/>
                <w:color w:val="auto"/>
              </w:rPr>
            </w:pPr>
          </w:p>
        </w:tc>
        <w:tc>
          <w:tcPr>
            <w:tcW w:w="8140" w:type="dxa"/>
            <w:vAlign w:val="bottom"/>
            <w:gridSpan w:val="3"/>
          </w:tcPr>
          <w:p>
            <w:pPr>
              <w:ind w:left="276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3"/>
        </w:trPr>
        <w:tc>
          <w:tcPr>
            <w:tcW w:w="20" w:type="dxa"/>
            <w:vAlign w:val="bottom"/>
          </w:tcPr>
          <w:p>
            <w:pPr>
              <w:spacing w:after="0"/>
              <w:rPr>
                <w:sz w:val="3"/>
                <w:szCs w:val="3"/>
                <w:color w:val="auto"/>
              </w:rPr>
            </w:pPr>
          </w:p>
        </w:tc>
        <w:tc>
          <w:tcPr>
            <w:tcW w:w="4700" w:type="dxa"/>
            <w:vAlign w:val="bottom"/>
            <w:tcBorders>
              <w:bottom w:val="single" w:sz="8" w:color="2C2C2C"/>
            </w:tcBorders>
          </w:tcPr>
          <w:p>
            <w:pPr>
              <w:spacing w:after="0"/>
              <w:rPr>
                <w:sz w:val="3"/>
                <w:szCs w:val="3"/>
                <w:color w:val="auto"/>
              </w:rPr>
            </w:pPr>
          </w:p>
        </w:tc>
        <w:tc>
          <w:tcPr>
            <w:tcW w:w="2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40" w:type="dxa"/>
            <w:vAlign w:val="bottom"/>
          </w:tcPr>
          <w:p>
            <w:pPr>
              <w:ind w:left="10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tcPr>
          <w:p>
            <w:pPr>
              <w:ind w:left="140"/>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r>
      <w:tr>
        <w:trPr>
          <w:trHeight w:val="165"/>
        </w:trPr>
        <w:tc>
          <w:tcPr>
            <w:tcW w:w="20" w:type="dxa"/>
            <w:vAlign w:val="bottom"/>
          </w:tcPr>
          <w:p>
            <w:pPr>
              <w:spacing w:after="0"/>
              <w:rPr>
                <w:sz w:val="14"/>
                <w:szCs w:val="14"/>
                <w:color w:val="auto"/>
              </w:rPr>
            </w:pPr>
          </w:p>
        </w:tc>
        <w:tc>
          <w:tcPr>
            <w:tcW w:w="4700" w:type="dxa"/>
            <w:vAlign w:val="bottom"/>
          </w:tcPr>
          <w:p>
            <w:pPr>
              <w:ind w:left="292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w w:val="99"/>
              </w:rPr>
              <w:t>Underlying Derivative Security (Instr.</w:t>
            </w:r>
          </w:p>
        </w:tc>
        <w:tc>
          <w:tcPr>
            <w:tcW w:w="106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r>
      <w:tr>
        <w:trPr>
          <w:trHeight w:val="179"/>
        </w:trPr>
        <w:tc>
          <w:tcPr>
            <w:tcW w:w="20" w:type="dxa"/>
            <w:vAlign w:val="bottom"/>
          </w:tcPr>
          <w:p>
            <w:pPr>
              <w:spacing w:after="0"/>
              <w:rPr>
                <w:sz w:val="15"/>
                <w:szCs w:val="15"/>
                <w:color w:val="auto"/>
              </w:rPr>
            </w:pPr>
          </w:p>
        </w:tc>
        <w:tc>
          <w:tcPr>
            <w:tcW w:w="4700" w:type="dxa"/>
            <w:vAlign w:val="bottom"/>
          </w:tcPr>
          <w:p>
            <w:pPr>
              <w:ind w:left="2920"/>
              <w:spacing w:after="0"/>
              <w:rPr>
                <w:sz w:val="20"/>
                <w:szCs w:val="20"/>
                <w:color w:val="auto"/>
              </w:rPr>
            </w:pPr>
            <w:r>
              <w:rPr>
                <w:rFonts w:ascii="Arial" w:cs="Arial" w:eastAsia="Arial" w:hAnsi="Arial"/>
                <w:sz w:val="15"/>
                <w:szCs w:val="15"/>
                <w:b w:val="1"/>
                <w:bCs w:val="1"/>
                <w:color w:val="auto"/>
              </w:rPr>
              <w:t>(Month/Day/Year)</w:t>
            </w:r>
          </w:p>
        </w:tc>
        <w:tc>
          <w:tcPr>
            <w:tcW w:w="2740" w:type="dxa"/>
            <w:vAlign w:val="bottom"/>
          </w:tcPr>
          <w:p>
            <w:pPr>
              <w:ind w:left="100"/>
              <w:spacing w:after="0"/>
              <w:rPr>
                <w:sz w:val="20"/>
                <w:szCs w:val="20"/>
                <w:color w:val="auto"/>
              </w:rPr>
            </w:pPr>
            <w:r>
              <w:rPr>
                <w:rFonts w:ascii="Arial" w:cs="Arial" w:eastAsia="Arial" w:hAnsi="Arial"/>
                <w:sz w:val="15"/>
                <w:szCs w:val="15"/>
                <w:b w:val="1"/>
                <w:bCs w:val="1"/>
                <w:color w:val="auto"/>
              </w:rPr>
              <w:t>4)</w:t>
            </w:r>
          </w:p>
        </w:tc>
        <w:tc>
          <w:tcPr>
            <w:tcW w:w="1060" w:type="dxa"/>
            <w:vAlign w:val="bottom"/>
            <w:gridSpan w:val="2"/>
          </w:tcPr>
          <w:p>
            <w:pPr>
              <w:ind w:left="140"/>
              <w:spacing w:after="0"/>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Ownership (Instr.</w:t>
            </w:r>
          </w:p>
        </w:tc>
      </w:tr>
    </w:tbl>
    <w:p>
      <w:pPr>
        <w:spacing w:after="0" w:line="1" w:lineRule="exact"/>
        <w:rPr>
          <w:sz w:val="24"/>
          <w:szCs w:val="24"/>
          <w:color w:val="auto"/>
        </w:rPr>
      </w:pPr>
    </w:p>
    <w:p>
      <w:pPr>
        <w:sectPr>
          <w:pgSz w:w="11900" w:h="16838" w:orient="portrait"/>
          <w:cols w:equalWidth="0" w:num="1">
            <w:col w:w="10940"/>
          </w:cols>
          <w:pgMar w:left="480" w:top="230" w:right="479" w:bottom="0" w:gutter="0" w:footer="0" w:header="0"/>
          <w:type w:val="continuous"/>
        </w:sectPr>
      </w:pPr>
    </w:p>
    <w:p>
      <w:pPr>
        <w:spacing w:after="0" w:line="135" w:lineRule="exact"/>
        <w:rPr>
          <w:sz w:val="24"/>
          <w:szCs w:val="24"/>
          <w:color w:val="auto"/>
        </w:rPr>
      </w:pPr>
    </w:p>
    <w:p>
      <w:pPr>
        <w:ind w:left="6580"/>
        <w:spacing w:after="0"/>
        <w:rPr>
          <w:sz w:val="20"/>
          <w:szCs w:val="20"/>
          <w:color w:val="auto"/>
        </w:rPr>
      </w:pPr>
      <w:r>
        <w:rPr>
          <w:rFonts w:ascii="Arial" w:cs="Arial" w:eastAsia="Arial" w:hAnsi="Arial"/>
          <w:sz w:val="15"/>
          <w:szCs w:val="15"/>
          <w:b w:val="1"/>
          <w:bCs w:val="1"/>
          <w:color w:val="auto"/>
        </w:rPr>
        <w:t>Amount or</w:t>
      </w:r>
    </w:p>
    <w:p>
      <w:pPr>
        <w:ind w:left="2940"/>
        <w:spacing w:after="0"/>
        <w:tabs>
          <w:tab w:leader="none" w:pos="3920" w:val="left"/>
          <w:tab w:leader="none" w:pos="6560" w:val="left"/>
        </w:tabs>
        <w:rPr>
          <w:sz w:val="20"/>
          <w:szCs w:val="20"/>
          <w:color w:val="auto"/>
        </w:rPr>
      </w:pPr>
      <w:r>
        <w:rPr>
          <w:rFonts w:ascii="Arial" w:cs="Arial" w:eastAsia="Arial" w:hAnsi="Arial"/>
          <w:sz w:val="15"/>
          <w:szCs w:val="15"/>
          <w:b w:val="1"/>
          <w:bCs w:val="1"/>
          <w:color w:val="auto"/>
        </w:rPr>
        <w:t>Date</w:t>
      </w:r>
      <w:r>
        <w:rPr>
          <w:sz w:val="20"/>
          <w:szCs w:val="20"/>
          <w:color w:val="auto"/>
        </w:rPr>
        <w:tab/>
      </w:r>
      <w:r>
        <w:rPr>
          <w:rFonts w:ascii="Arial" w:cs="Arial" w:eastAsia="Arial" w:hAnsi="Arial"/>
          <w:sz w:val="15"/>
          <w:szCs w:val="15"/>
          <w:b w:val="1"/>
          <w:bCs w:val="1"/>
          <w:color w:val="auto"/>
        </w:rPr>
        <w:t>Expiration</w:t>
      </w:r>
      <w:r>
        <w:rPr>
          <w:sz w:val="20"/>
          <w:szCs w:val="20"/>
          <w:color w:val="auto"/>
        </w:rPr>
        <w:tab/>
      </w:r>
      <w:r>
        <w:rPr>
          <w:rFonts w:ascii="Arial" w:cs="Arial" w:eastAsia="Arial" w:hAnsi="Arial"/>
          <w:sz w:val="14"/>
          <w:szCs w:val="14"/>
          <w:b w:val="1"/>
          <w:bCs w:val="1"/>
          <w:color w:val="auto"/>
        </w:rPr>
        <w:t>Number of</w:t>
      </w:r>
    </w:p>
    <w:p>
      <w:pPr>
        <w:ind w:left="2940"/>
        <w:spacing w:after="0"/>
        <w:tabs>
          <w:tab w:leader="none" w:pos="3920" w:val="left"/>
          <w:tab w:leader="none" w:pos="4800" w:val="left"/>
          <w:tab w:leader="none" w:pos="6560" w:val="left"/>
        </w:tabs>
        <w:rPr>
          <w:sz w:val="20"/>
          <w:szCs w:val="20"/>
          <w:color w:val="auto"/>
        </w:rPr>
      </w:pPr>
      <w:r>
        <w:rPr>
          <w:rFonts w:ascii="Arial" w:cs="Arial" w:eastAsia="Arial" w:hAnsi="Arial"/>
          <w:sz w:val="15"/>
          <w:szCs w:val="15"/>
          <w:b w:val="1"/>
          <w:bCs w:val="1"/>
          <w:color w:val="auto"/>
        </w:rPr>
        <w:t>Exercisable</w:t>
        <w:tab/>
        <w:t>Date</w:t>
      </w:r>
      <w:r>
        <w:rPr>
          <w:sz w:val="20"/>
          <w:szCs w:val="20"/>
          <w:color w:val="auto"/>
        </w:rPr>
        <w:tab/>
      </w:r>
      <w:r>
        <w:rPr>
          <w:rFonts w:ascii="Arial" w:cs="Arial" w:eastAsia="Arial" w:hAnsi="Arial"/>
          <w:sz w:val="15"/>
          <w:szCs w:val="15"/>
          <w:b w:val="1"/>
          <w:bCs w:val="1"/>
          <w:color w:val="auto"/>
        </w:rPr>
        <w:t>Title</w:t>
      </w:r>
      <w:r>
        <w:rPr>
          <w:sz w:val="20"/>
          <w:szCs w:val="20"/>
          <w:color w:val="auto"/>
        </w:rPr>
        <w:tab/>
      </w:r>
      <w:r>
        <w:rPr>
          <w:rFonts w:ascii="Arial" w:cs="Arial" w:eastAsia="Arial" w:hAnsi="Arial"/>
          <w:sz w:val="14"/>
          <w:szCs w:val="14"/>
          <w:b w:val="1"/>
          <w:bCs w:val="1"/>
          <w:color w:val="auto"/>
        </w:rPr>
        <w:t>Shares</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860" w:type="dxa"/>
            <w:vAlign w:val="bottom"/>
          </w:tcPr>
          <w:p>
            <w:pPr>
              <w:spacing w:after="0" w:line="151" w:lineRule="exact"/>
              <w:rPr>
                <w:sz w:val="20"/>
                <w:szCs w:val="20"/>
                <w:color w:val="auto"/>
              </w:rPr>
            </w:pPr>
            <w:r>
              <w:rPr>
                <w:rFonts w:ascii="Arial" w:cs="Arial" w:eastAsia="Arial" w:hAnsi="Arial"/>
                <w:sz w:val="15"/>
                <w:szCs w:val="15"/>
                <w:b w:val="1"/>
                <w:bCs w:val="1"/>
                <w:color w:val="auto"/>
              </w:rPr>
              <w:t>Price of</w:t>
            </w:r>
          </w:p>
        </w:tc>
        <w:tc>
          <w:tcPr>
            <w:tcW w:w="980" w:type="dxa"/>
            <w:vAlign w:val="bottom"/>
          </w:tcPr>
          <w:p>
            <w:pPr>
              <w:ind w:left="140"/>
              <w:spacing w:after="0" w:line="151" w:lineRule="exact"/>
              <w:rPr>
                <w:sz w:val="20"/>
                <w:szCs w:val="20"/>
                <w:color w:val="auto"/>
              </w:rPr>
            </w:pPr>
            <w:r>
              <w:rPr>
                <w:rFonts w:ascii="Arial" w:cs="Arial" w:eastAsia="Arial" w:hAnsi="Arial"/>
                <w:sz w:val="15"/>
                <w:szCs w:val="15"/>
                <w:b w:val="1"/>
                <w:bCs w:val="1"/>
                <w:color w:val="auto"/>
              </w:rPr>
              <w:t>Direct (D)</w:t>
            </w:r>
          </w:p>
        </w:tc>
        <w:tc>
          <w:tcPr>
            <w:tcW w:w="22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5)</w:t>
            </w:r>
          </w:p>
        </w:tc>
      </w:tr>
      <w:tr>
        <w:trPr>
          <w:trHeight w:val="165"/>
        </w:trPr>
        <w:tc>
          <w:tcPr>
            <w:tcW w:w="860" w:type="dxa"/>
            <w:vAlign w:val="bottom"/>
          </w:tcPr>
          <w:p>
            <w:pPr>
              <w:spacing w:after="0" w:line="165" w:lineRule="exact"/>
              <w:rPr>
                <w:sz w:val="20"/>
                <w:szCs w:val="20"/>
                <w:color w:val="auto"/>
              </w:rPr>
            </w:pPr>
            <w:r>
              <w:rPr>
                <w:rFonts w:ascii="Arial" w:cs="Arial" w:eastAsia="Arial" w:hAnsi="Arial"/>
                <w:sz w:val="15"/>
                <w:szCs w:val="15"/>
                <w:b w:val="1"/>
                <w:bCs w:val="1"/>
                <w:color w:val="auto"/>
              </w:rPr>
              <w:t>Derivative</w:t>
            </w:r>
          </w:p>
        </w:tc>
        <w:tc>
          <w:tcPr>
            <w:tcW w:w="98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4"/>
                <w:szCs w:val="14"/>
                <w:color w:val="auto"/>
              </w:rPr>
            </w:pPr>
          </w:p>
        </w:tc>
      </w:tr>
      <w:tr>
        <w:trPr>
          <w:trHeight w:val="206"/>
        </w:trPr>
        <w:tc>
          <w:tcPr>
            <w:tcW w:w="860" w:type="dxa"/>
            <w:vAlign w:val="bottom"/>
          </w:tcPr>
          <w:p>
            <w:pPr>
              <w:spacing w:after="0"/>
              <w:rPr>
                <w:sz w:val="20"/>
                <w:szCs w:val="20"/>
                <w:color w:val="auto"/>
              </w:rPr>
            </w:pPr>
            <w:r>
              <w:rPr>
                <w:rFonts w:ascii="Arial" w:cs="Arial" w:eastAsia="Arial" w:hAnsi="Arial"/>
                <w:sz w:val="15"/>
                <w:szCs w:val="15"/>
                <w:b w:val="1"/>
                <w:bCs w:val="1"/>
                <w:color w:val="auto"/>
              </w:rPr>
              <w:t>Security</w:t>
            </w:r>
          </w:p>
        </w:tc>
        <w:tc>
          <w:tcPr>
            <w:tcW w:w="98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7"/>
                <w:szCs w:val="17"/>
                <w:color w:val="auto"/>
              </w:rPr>
            </w:pPr>
          </w:p>
        </w:tc>
      </w:tr>
    </w:tbl>
    <w:p>
      <w:pPr>
        <w:spacing w:after="0" w:line="258" w:lineRule="exact"/>
        <w:rPr>
          <w:sz w:val="24"/>
          <w:szCs w:val="24"/>
          <w:color w:val="auto"/>
        </w:rPr>
      </w:pPr>
    </w:p>
    <w:p>
      <w:pPr>
        <w:sectPr>
          <w:pgSz w:w="11900" w:h="16838" w:orient="portrait"/>
          <w:cols w:equalWidth="0" w:num="2">
            <w:col w:w="7340" w:space="260"/>
            <w:col w:w="3340"/>
          </w:cols>
          <w:pgMar w:left="480" w:top="230" w:right="479" w:bottom="0" w:gutter="0" w:footer="0" w:header="0"/>
          <w:type w:val="continuous"/>
        </w:sectPr>
      </w:pPr>
    </w:p>
    <w:tbl>
      <w:tblPr>
        <w:tblLayout w:type="fixed"/>
        <w:tblInd w:w="20" w:type="dxa"/>
        <w:tblCellMar>
          <w:top w:w="0" w:type="dxa"/>
          <w:left w:w="0" w:type="dxa"/>
          <w:bottom w:w="0" w:type="dxa"/>
          <w:right w:w="0" w:type="dxa"/>
        </w:tblCellMar>
      </w:tblPr>
      <w:tr>
        <w:trPr>
          <w:trHeight w:val="240"/>
        </w:trPr>
        <w:tc>
          <w:tcPr>
            <w:tcW w:w="2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8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By Gemini Asia</w:t>
            </w:r>
          </w:p>
        </w:tc>
        <w:tc>
          <w:tcPr>
            <w:tcW w:w="0" w:type="dxa"/>
            <w:vAlign w:val="bottom"/>
          </w:tcPr>
          <w:p>
            <w:pPr>
              <w:spacing w:after="0"/>
              <w:rPr>
                <w:sz w:val="1"/>
                <w:szCs w:val="1"/>
                <w:color w:val="auto"/>
              </w:rPr>
            </w:pPr>
          </w:p>
        </w:tc>
      </w:tr>
      <w:tr>
        <w:trPr>
          <w:trHeight w:val="120"/>
        </w:trPr>
        <w:tc>
          <w:tcPr>
            <w:tcW w:w="26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Ordinary Shares</w:t>
            </w:r>
          </w:p>
        </w:tc>
        <w:tc>
          <w:tcPr>
            <w:tcW w:w="118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008000"/>
              </w:rPr>
              <w:t>(3)</w:t>
            </w:r>
          </w:p>
        </w:tc>
        <w:tc>
          <w:tcPr>
            <w:tcW w:w="82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008000"/>
              </w:rPr>
              <w:t>(4)</w:t>
            </w:r>
          </w:p>
        </w:tc>
        <w:tc>
          <w:tcPr>
            <w:tcW w:w="1780" w:type="dxa"/>
            <w:vAlign w:val="bottom"/>
            <w:vMerge w:val="continue"/>
          </w:tcPr>
          <w:p>
            <w:pPr>
              <w:spacing w:after="0"/>
              <w:rPr>
                <w:sz w:val="10"/>
                <w:szCs w:val="10"/>
                <w:color w:val="auto"/>
              </w:rPr>
            </w:pPr>
          </w:p>
        </w:tc>
        <w:tc>
          <w:tcPr>
            <w:tcW w:w="1260" w:type="dxa"/>
            <w:vAlign w:val="bottom"/>
            <w:vMerge w:val="restart"/>
          </w:tcPr>
          <w:p>
            <w:pPr>
              <w:jc w:val="right"/>
              <w:ind w:right="202"/>
              <w:spacing w:after="0"/>
              <w:rPr>
                <w:sz w:val="20"/>
                <w:szCs w:val="20"/>
                <w:color w:val="auto"/>
              </w:rPr>
            </w:pPr>
            <w:r>
              <w:rPr>
                <w:rFonts w:ascii="Times New Roman" w:cs="Times New Roman" w:eastAsia="Times New Roman" w:hAnsi="Times New Roman"/>
                <w:sz w:val="20"/>
                <w:szCs w:val="20"/>
                <w:color w:val="0000FF"/>
              </w:rPr>
              <w:t>4,080,000</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(3)</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Holdings</w:t>
            </w:r>
          </w:p>
        </w:tc>
        <w:tc>
          <w:tcPr>
            <w:tcW w:w="0" w:type="dxa"/>
            <w:vAlign w:val="bottom"/>
          </w:tcPr>
          <w:p>
            <w:pPr>
              <w:spacing w:after="0"/>
              <w:rPr>
                <w:sz w:val="1"/>
                <w:szCs w:val="1"/>
                <w:color w:val="auto"/>
              </w:rPr>
            </w:pPr>
          </w:p>
        </w:tc>
      </w:tr>
      <w:tr>
        <w:trPr>
          <w:trHeight w:val="120"/>
        </w:trPr>
        <w:tc>
          <w:tcPr>
            <w:tcW w:w="26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78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7"/>
              </w:rPr>
              <w:t>Shares</w:t>
            </w:r>
          </w:p>
        </w:tc>
        <w:tc>
          <w:tcPr>
            <w:tcW w:w="12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Limited</w:t>
            </w:r>
            <w:r>
              <w:rPr>
                <w:rFonts w:ascii="Times New Roman" w:cs="Times New Roman" w:eastAsia="Times New Roman" w:hAnsi="Times New Roman"/>
                <w:sz w:val="25"/>
                <w:szCs w:val="25"/>
                <w:color w:val="008000"/>
                <w:vertAlign w:val="superscript"/>
              </w:rPr>
              <w:t>(5)</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2C2C2C"/>
            </w:tcBorders>
          </w:tcPr>
          <w:p>
            <w:pPr>
              <w:spacing w:after="0"/>
              <w:rPr>
                <w:sz w:val="16"/>
                <w:szCs w:val="16"/>
                <w:color w:val="auto"/>
              </w:rPr>
            </w:pPr>
          </w:p>
        </w:tc>
        <w:tc>
          <w:tcPr>
            <w:tcW w:w="118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1780" w:type="dxa"/>
            <w:vAlign w:val="bottom"/>
            <w:tcBorders>
              <w:bottom w:val="single" w:sz="8" w:color="2C2C2C"/>
            </w:tcBorders>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64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8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By VAST</w:t>
            </w:r>
          </w:p>
        </w:tc>
        <w:tc>
          <w:tcPr>
            <w:tcW w:w="0" w:type="dxa"/>
            <w:vAlign w:val="bottom"/>
          </w:tcPr>
          <w:p>
            <w:pPr>
              <w:spacing w:after="0"/>
              <w:rPr>
                <w:sz w:val="1"/>
                <w:szCs w:val="1"/>
                <w:color w:val="auto"/>
              </w:rPr>
            </w:pPr>
          </w:p>
        </w:tc>
      </w:tr>
      <w:tr>
        <w:trPr>
          <w:trHeight w:val="120"/>
        </w:trPr>
        <w:tc>
          <w:tcPr>
            <w:tcW w:w="26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Ordinary Shares</w:t>
            </w:r>
          </w:p>
        </w:tc>
        <w:tc>
          <w:tcPr>
            <w:tcW w:w="118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008000"/>
              </w:rPr>
              <w:t>(3)</w:t>
            </w:r>
          </w:p>
        </w:tc>
        <w:tc>
          <w:tcPr>
            <w:tcW w:w="82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008000"/>
              </w:rPr>
              <w:t>(4)</w:t>
            </w:r>
          </w:p>
        </w:tc>
        <w:tc>
          <w:tcPr>
            <w:tcW w:w="1780" w:type="dxa"/>
            <w:vAlign w:val="bottom"/>
            <w:vMerge w:val="continue"/>
          </w:tcPr>
          <w:p>
            <w:pPr>
              <w:spacing w:after="0"/>
              <w:rPr>
                <w:sz w:val="10"/>
                <w:szCs w:val="10"/>
                <w:color w:val="auto"/>
              </w:rPr>
            </w:pPr>
          </w:p>
        </w:tc>
        <w:tc>
          <w:tcPr>
            <w:tcW w:w="1260" w:type="dxa"/>
            <w:vAlign w:val="bottom"/>
            <w:vMerge w:val="restart"/>
          </w:tcPr>
          <w:p>
            <w:pPr>
              <w:jc w:val="right"/>
              <w:ind w:right="142"/>
              <w:spacing w:after="0"/>
              <w:rPr>
                <w:sz w:val="20"/>
                <w:szCs w:val="20"/>
                <w:color w:val="auto"/>
              </w:rPr>
            </w:pPr>
            <w:r>
              <w:rPr>
                <w:rFonts w:ascii="Times New Roman" w:cs="Times New Roman" w:eastAsia="Times New Roman" w:hAnsi="Times New Roman"/>
                <w:sz w:val="20"/>
                <w:szCs w:val="20"/>
                <w:color w:val="0000FF"/>
              </w:rPr>
              <w:t>23,331,599</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(3)</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SPACE</w:t>
            </w:r>
          </w:p>
        </w:tc>
        <w:tc>
          <w:tcPr>
            <w:tcW w:w="0" w:type="dxa"/>
            <w:vAlign w:val="bottom"/>
          </w:tcPr>
          <w:p>
            <w:pPr>
              <w:spacing w:after="0"/>
              <w:rPr>
                <w:sz w:val="1"/>
                <w:szCs w:val="1"/>
                <w:color w:val="auto"/>
              </w:rPr>
            </w:pPr>
          </w:p>
        </w:tc>
      </w:tr>
      <w:tr>
        <w:trPr>
          <w:trHeight w:val="120"/>
        </w:trPr>
        <w:tc>
          <w:tcPr>
            <w:tcW w:w="26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78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7"/>
              </w:rPr>
              <w:t>Shares</w:t>
            </w:r>
          </w:p>
        </w:tc>
        <w:tc>
          <w:tcPr>
            <w:tcW w:w="12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LIMITED</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07"/>
        </w:trPr>
        <w:tc>
          <w:tcPr>
            <w:tcW w:w="2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Ling Ngai Lok is the sole director and sole shareholder of VAST SPACE LIMITED, and has sole voting and investment power over the shares held by VAST SPACE LIMITED.</w:t>
      </w:r>
    </w:p>
    <w:p>
      <w:pPr>
        <w:spacing w:after="0" w:line="52" w:lineRule="exact"/>
        <w:rPr>
          <w:rFonts w:ascii="Times New Roman" w:cs="Times New Roman" w:eastAsia="Times New Roman" w:hAnsi="Times New Roman"/>
          <w:sz w:val="15"/>
          <w:szCs w:val="15"/>
          <w:color w:val="008000"/>
        </w:rPr>
      </w:pPr>
    </w:p>
    <w:p>
      <w:pPr>
        <w:ind w:left="40" w:right="8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Ling Ngai Lok is the sole director of WELL INSIGHT LIMITED. The reporting person disclaims beneficial ownership of these securities except to the extent of his pecuniary interest therein, and the inclusion of these shares in this report shall not be deemed an admission of beneficial ownership of the reported shares for purposes of Section 16 or for any other purpose.</w:t>
      </w:r>
    </w:p>
    <w:p>
      <w:pPr>
        <w:spacing w:after="0" w:line="29" w:lineRule="exact"/>
        <w:rPr>
          <w:rFonts w:ascii="Times New Roman" w:cs="Times New Roman" w:eastAsia="Times New Roman" w:hAnsi="Times New Roman"/>
          <w:sz w:val="15"/>
          <w:szCs w:val="15"/>
          <w:color w:val="008000"/>
        </w:rPr>
      </w:pPr>
    </w:p>
    <w:p>
      <w:pPr>
        <w:ind w:left="40" w:right="5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Class B Ordinary Share is convertible into one Class A Ordinary Share of the Issuer at any time, at the election of the holder or automatically upon certain transfers, whether or not for value.</w:t>
      </w:r>
    </w:p>
    <w:p>
      <w:pPr>
        <w:spacing w:after="0" w:line="17"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 holder's Class B Ordinary Shares convert automatically upon certain transfers and may be subject to mandatory conversion into Class A Ordinary Shares upon the occurrence of certain events described in the Issuer's Second Amended and Restated Memorandum and Articles of Association.</w:t>
      </w:r>
    </w:p>
    <w:p>
      <w:pPr>
        <w:spacing w:after="0" w:line="17" w:lineRule="exact"/>
        <w:rPr>
          <w:rFonts w:ascii="Times New Roman" w:cs="Times New Roman" w:eastAsia="Times New Roman" w:hAnsi="Times New Roman"/>
          <w:sz w:val="15"/>
          <w:szCs w:val="15"/>
          <w:color w:val="008000"/>
        </w:rPr>
      </w:pPr>
    </w:p>
    <w:p>
      <w:pPr>
        <w:ind w:left="40" w:right="5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Ling Ngai Lok is the sole director and sole shareholder of Gemini Asia Holdings Limited, and has sole voting and investment power over the shares held by Gemini Asia Holdings Limited.</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Ling Ngai Lok</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2120807" TargetMode="External"/><Relationship Id="rId11" Type="http://schemas.openxmlformats.org/officeDocument/2006/relationships/hyperlink" Target="http://www.sec.gov/cgi-bin/browse-edgar?action=getcompany&amp;CIK=0001959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2026-03-18T07:07:35Z</dcterms:created>
  <dcterms:modified xsi:type="dcterms:W3CDTF">2026-03-18T07:07:35Z</dcterms:modified>
</cp:coreProperties>
</file>