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575-nt20f_solowin.htm"/>
      <w:bookmarkStart w:id="1" w:name="ksea0299575nt20f_solowin"/>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9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 File Number </w:t>
      </w:r>
      <w:r>
        <w:rPr>
          <w:rFonts w:ascii="Times New Roman;Times;Serif" w:hAnsi="Times New Roman;Times;Serif"/>
          <w:b/>
          <w:i w:val="false"/>
          <w:caps w:val="false"/>
          <w:smallCaps w:val="false"/>
          <w:sz w:val="20"/>
          <w:u w:val="single"/>
        </w:rPr>
        <w:t>001-41776</w:t>
      </w:r>
    </w:p>
    <w:p>
      <w:pPr>
        <w:pStyle w:val="TextBody"/>
        <w:bidi w:val="0"/>
        <w:spacing w:before="0" w:after="0"/>
        <w:ind w:left="0" w:right="0" w:firstLine="59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Number </w:t>
      </w:r>
      <w:r>
        <w:rPr>
          <w:rFonts w:ascii="Times New Roman;Times;Serif" w:hAnsi="Times New Roman;Times;Serif"/>
          <w:b/>
          <w:i w:val="false"/>
          <w:caps w:val="false"/>
          <w:smallCaps w:val="false"/>
          <w:sz w:val="20"/>
          <w:u w:val="single"/>
        </w:rPr>
        <w:t>G82759104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115"/>
        <w:gridCol w:w="5345"/>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One):</w:t>
            </w:r>
          </w:p>
        </w:tc>
        <w:tc>
          <w:tcPr>
            <w:tcW w:w="5345" w:type="dxa"/>
            <w:tcBorders/>
            <w:vAlign w:val="center"/>
          </w:tcPr>
          <w:p>
            <w:pPr>
              <w:pStyle w:val="TableContents"/>
              <w:bidi w:val="0"/>
              <w:spacing w:before="0" w:after="283"/>
              <w:jc w:val="left"/>
              <w:rPr/>
            </w:pPr>
            <w:r>
              <w:rPr/>
              <w:t>☐  </w:t>
            </w:r>
            <w:r>
              <w:rPr>
                <w:rFonts w:ascii="Times New Roman;Times;Serif" w:hAnsi="Times New Roman;Times;Serif"/>
                <w:sz w:val="20"/>
              </w:rPr>
              <w:t xml:space="preserve">Form 10-K     ☐  Form 11-K     ☒  Form 20-F     ☐  Form 10-Q </w:t>
            </w:r>
          </w:p>
        </w:tc>
      </w:tr>
      <w:tr>
        <w:trPr/>
        <w:tc>
          <w:tcPr>
            <w:tcW w:w="111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left"/>
              <w:rPr/>
            </w:pPr>
            <w:r>
              <w:rPr/>
              <w:t>☐  </w:t>
            </w:r>
            <w:r>
              <w:rPr>
                <w:rFonts w:ascii="Times New Roman;Times;Serif" w:hAnsi="Times New Roman;Times;Serif"/>
                <w:sz w:val="20"/>
              </w:rPr>
              <w:t>Form 10-D     ☐  Form N-CEN     ☐  Form N-CSR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March 31, 2026</w:t>
      </w:r>
    </w:p>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20-F</w:t>
            </w:r>
          </w:p>
        </w:tc>
      </w:tr>
    </w:tbl>
    <w:p>
      <w:pPr>
        <w:pStyle w:val="TextBody"/>
        <w:bidi w:val="0"/>
        <w:spacing w:before="0" w:after="0"/>
        <w:ind w:left="0" w:right="0" w:firstLine="72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11-K</w:t>
            </w:r>
          </w:p>
        </w:tc>
      </w:tr>
    </w:tbl>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Transition Period Ended: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Room 1910-1912A, Tower 3, China Hong Kong City, 33 Canton Road, Tsim Sha Tsui, Kowloon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 </w:t>
      </w:r>
      <w:r>
        <w:rPr>
          <w:rFonts w:ascii="Times New Roman;Times;Serif" w:hAnsi="Times New Roman;Times;Serif"/>
          <w:b w:val="false"/>
          <w:i/>
          <w:caps w:val="false"/>
          <w:smallCaps w:val="false"/>
          <w:sz w:val="20"/>
        </w:rPr>
        <w:t>(Street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00000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 12-b 25 (b) AND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210"/>
        <w:gridCol w:w="9750"/>
      </w:tblGrid>
      <w:tr>
        <w:trPr/>
        <w:tc>
          <w:tcPr>
            <w:tcW w:w="24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reasons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 </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 </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 10-K, 20-F, 11-K, 10-Q, 10-D, N-CEN, N-CSR, or the transition report or portion thereof could not be filed within the prescribed time period. (Attach extra sheets if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Registrant is unable to file its Annual Report on Form 20-F for the year ended March 31, 2026 (the “Form 20-F”) because of unanticipated delays in the completion of its financial statements and related portions of the Form 20-F, which delays could not be eliminated by the Registrant without unreasonable effort and expense. In accordance with Rule 12b-25 under the Securities Exchange Act of 1934, as amended, the Registrant anticipates filing the Form 20-F no later than fifteen calendar days following the prescribed due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45"/>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bl>
    <w:p>
      <w:pPr>
        <w:pStyle w:val="TextBody"/>
        <w:bidi w:val="0"/>
        <w:spacing w:before="0" w:after="0"/>
        <w:ind w:left="360" w:right="0" w:hanging="360"/>
        <w:jc w:val="both"/>
        <w:rPr>
          <w:caps w:val="false"/>
          <w:smallCaps w:val="false"/>
        </w:rPr>
      </w:pPr>
      <w:r>
        <w:rPr>
          <w:caps w:val="false"/>
          <w:smallCaps w:val="false"/>
        </w:rPr>
        <w:t> </w:t>
      </w:r>
    </w:p>
    <w:tbl>
      <w:tblPr>
        <w:tblW w:w="4065" w:type="dxa"/>
        <w:jc w:val="left"/>
        <w:tblInd w:w="0" w:type="dxa"/>
        <w:tblLayout w:type="fixed"/>
        <w:tblCellMar>
          <w:top w:w="0" w:type="dxa"/>
          <w:left w:w="0" w:type="dxa"/>
          <w:bottom w:w="28" w:type="dxa"/>
          <w:right w:w="0" w:type="dxa"/>
        </w:tblCellMar>
      </w:tblPr>
      <w:tblGrid>
        <w:gridCol w:w="1235"/>
        <w:gridCol w:w="60"/>
        <w:gridCol w:w="995"/>
        <w:gridCol w:w="60"/>
        <w:gridCol w:w="1715"/>
      </w:tblGrid>
      <w:tr>
        <w:trPr/>
        <w:tc>
          <w:tcPr>
            <w:tcW w:w="12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Ling Ngai Lok</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(+852)</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3428-3893</w:t>
            </w:r>
          </w:p>
        </w:tc>
      </w:tr>
      <w:tr>
        <w:trPr/>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(Area Code)</w:t>
            </w:r>
          </w:p>
        </w:tc>
        <w:tc>
          <w:tcPr>
            <w:tcW w:w="6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(Telephone Number)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it anticipated that any significant change in results of operations from the corresponding period for the last fiscal year will be reflected by the earnings statements to be included in the subject report or portion thereof?</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720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 previously reported, the Registrant completed the acquisition (the “Acquisition”) of AlloyX Limited, a developer of next-generation stablecoin infrastructure focused on tokenized money-market funds and cross-border payments (“AlloyX”), in September 2025. As a result of the consolidation of AlloyX’s financial results following the Acquisition, the Registrant anticipates that it will report a significant increase in its revenues for the fiscal year ended March 31, 2026, as compared to its revenues for the previous fiscal year. Additionally, total assets, total liabilities and shareholders’ equity as of and for the fiscal year ended March 31, 2026 are expected to differ significantly from those reported as of and for the fiscal year ended March 31, 2025 in the Registrant’s annual report on Form 20-F filed on June 30, 2025. The Registrant issued a press release on April 21, 2026, announcing certain preliminary, unaudited results of operations for the fiscal year ended March 31,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625"/>
        <w:gridCol w:w="320"/>
        <w:gridCol w:w="318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31,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Ling Ngai Lok</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Chairman and 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793</Words>
  <Characters>4095</Characters>
  <CharactersWithSpaces>5029</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