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490-6k_solowin.htm"/>
      <w:bookmarkStart w:id="1" w:name="ksea03084906k_solowi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r>
        <w:rPr>
          <w:rFonts w:ascii="Times New Roman;Times;Serif" w:hAnsi="Times New Roman;Times;Serif"/>
          <w:b/>
          <w:i w:val="false"/>
          <w:caps w:val="false"/>
          <w:smallCaps w:val="false"/>
          <w:sz w:val="20"/>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an extraordinary general meeting of shareholders at 10:00 a.m., Eastern Time, on October 13, 2026, at Room 1910-1912A, Tower 3, China Hong Kong City, 33 Canton Road, Tsim Sha Tsui, Kowloon,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the Company’s Class A ordinary shares, par value $0.0001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and the Company’s Class B ordinary shares, par value $0.0001 per share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collectively with Class A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as of the close of business on September 30,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were entitled to receive notice of and vote at the meeting or any adjournment or postponement thereof. As of the Record Date, there were 181,529,461 Class A Ordinary Shares and 31,371,599 Class B Ordinary Shares issued and outstanding. Each Class A Ordinary Share of the Company is entitled to one vote, and each Class B Ordinary Share of the Company is entitled to ten votes. A total of 126,558,610.84 Ordinary Shares (representing 408,903,001.84 votes and 82.57% of the total votes outstanding as of the Record Date), constituting a quorum, were represented in person or by valid proxies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for each matter submitted to a vote of shareholders at the meeting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following constitutes the votes with respect to that the approval, as an ordinary resolution, that effective on October 26, 2026, or such other date as may be determined in coordination with Nasdaq as the market effective date for the Share Consolidation, as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consolidation of each of the issued and unissued Class A ordinary shares of a par value of US$0.0001 each, and each of the issued and unissued Class B ordinary shares of a par value of US$0.0001, at a ratio 1-for-200 (the “</w:t>
            </w:r>
            <w:r>
              <w:rPr>
                <w:rFonts w:ascii="Times New Roman;Times;Serif" w:hAnsi="Times New Roman;Times;Serif"/>
                <w:b/>
                <w:sz w:val="20"/>
              </w:rPr>
              <w:t>Share Consolidation</w:t>
            </w:r>
            <w:r>
              <w:rPr>
                <w:rFonts w:ascii="Times New Roman;Times;Serif" w:hAnsi="Times New Roman;Times;Serif"/>
                <w:sz w:val="20"/>
              </w:rPr>
              <w:t>”) be and is hereby approved such that (i) every 200 existing authorised issued and unissued Class A ordinary shares of a par value US$0.0001 each be consolidated into 1 Class A ordinary shares of a par value US$0.02 each, and (ii) every 200 existing authorised issued and unissued Class B ordinary shares of a par value US$0.0001 each be consolidated into 1 Class B ordinary shares of a par value US$0.02 each, such that following the Share Consolidation becoming effective, the authorised share capital of the Company of US$100,000 divided into 1,000,000,000 shares of a par value of US$0.0001 each, consisting of (i) 950,000,000 Class A ordinary shares of a par value of US$0.0001 each and (ii) 50,000,000 Class B ordinary shares of a par value of US$0.0001 each shall become US$100,000 divided into 5,000,000 shares of a par value of US$0.02 each, comprising (a) 4,750,000 Class A ordinary shares of a par value of US$0.02 each and (b) 250,000 Class B ordinary shares of a par value of US$0.02 each;</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fractional entitlements to shares resulting from the Share Consolidation shall be rounded up to the nearest whole share, and each holder who would otherwise be entitled to a fraction of a share shall receive one whole share in lieu of such fraction;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tc>
      </w:tr>
    </w:tbl>
    <w:p>
      <w:pPr>
        <w:pStyle w:val="TextBody"/>
        <w:bidi w:val="0"/>
        <w:spacing w:before="0" w:after="0"/>
        <w:ind w:left="0" w:right="0" w:hanging="0"/>
        <w:jc w:val="left"/>
        <w:rPr>
          <w:caps w:val="false"/>
          <w:smallCaps w:val="false"/>
        </w:rPr>
      </w:pPr>
      <w:r>
        <w:rPr>
          <w:caps w:val="false"/>
          <w:smallCaps w:val="false"/>
        </w:rPr>
        <w:t> </w:t>
      </w:r>
    </w:p>
    <w:tbl>
      <w:tblPr>
        <w:tblW w:w="3360" w:type="dxa"/>
        <w:jc w:val="left"/>
        <w:tblInd w:w="0" w:type="dxa"/>
        <w:tblLayout w:type="fixed"/>
        <w:tblCellMar>
          <w:top w:w="0" w:type="dxa"/>
          <w:left w:w="0" w:type="dxa"/>
          <w:bottom w:w="28" w:type="dxa"/>
          <w:right w:w="0" w:type="dxa"/>
        </w:tblCellMar>
      </w:tblPr>
      <w:tblGrid>
        <w:gridCol w:w="1325"/>
        <w:gridCol w:w="60"/>
        <w:gridCol w:w="950"/>
        <w:gridCol w:w="60"/>
        <w:gridCol w:w="965"/>
      </w:tblGrid>
      <w:tr>
        <w:trPr/>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407,859,143.14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782,319.10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261,539.60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Share Consolidation has been approved.</w:t>
      </w:r>
    </w:p>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following constitutes the votes with respect to that the approval, as an ordinary resolution,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and immediately following the Share Consolidation taking effect, the authorised share capital of the Company be increased from US$100,000 divided into 5,000,000 shares of a par value of US$0.02 each consisting of (a) 4,750,000 Class A ordinary shares of a par value of US$0.02 each and (b) 250,000 Class B ordinary shares of a par value of US$0.02 each TO US$5,000,000,000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w:t>
            </w:r>
            <w:r>
              <w:rPr>
                <w:rFonts w:ascii="Times New Roman;Times;Serif" w:hAnsi="Times New Roman;Times;Serif"/>
                <w:b/>
                <w:sz w:val="20"/>
              </w:rPr>
              <w:t>Share Capital Increase</w:t>
            </w:r>
            <w:r>
              <w:rPr>
                <w:rFonts w:ascii="Times New Roman;Times;Serif" w:hAnsi="Times New Roman;Times;Serif"/>
                <w:sz w:val="20"/>
              </w:rPr>
              <w:t>”) by the creation of an additional (a) 199,995,250,000 Class A ordinary shares of a par value of US$0.02 each, (b) 24,999,750,000 Class B ordinary shares of a par value of US$0.02 each, and (c) 25,000,000,000 shares of a par value of US$0.02 each of such class or classes (however designated) as the Board may determine in accordance with Article 13 of the Articles of Association of the Company;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tc>
      </w:tr>
    </w:tbl>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28" w:type="dxa"/>
          <w:right w:w="0" w:type="dxa"/>
        </w:tblCellMar>
      </w:tblPr>
      <w:tblGrid>
        <w:gridCol w:w="1385"/>
        <w:gridCol w:w="60"/>
        <w:gridCol w:w="1160"/>
        <w:gridCol w:w="60"/>
        <w:gridCol w:w="965"/>
      </w:tblGrid>
      <w:tr>
        <w:trPr/>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405,650,213.64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2,989,300.94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263,487.15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Share Capital Increase has been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following constitutes the votes with respect to that the approval, as a special resolution, that conditional upon the approval of the holders of the Class B ordinary shares to the variation of the rights attached to the Class B ordinary shares, the existing second amended and restated articles of association be amended to change the voting power of the Class B ordinary shares as follows (the “</w:t>
            </w:r>
            <w:r>
              <w:rPr>
                <w:rFonts w:ascii="Times New Roman;Times;Serif" w:hAnsi="Times New Roman;Times;Serif"/>
                <w:b/>
                <w:i w:val="false"/>
                <w:caps w:val="false"/>
                <w:smallCaps w:val="false"/>
                <w:sz w:val="20"/>
              </w:rPr>
              <w:t>Change of Voting Power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230"/>
        <w:gridCol w:w="7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sentence of article 10 (b) be deleted in its entirety and be replaced by the following: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pStyle w:val="TextBody"/>
        <w:bidi w:val="0"/>
        <w:spacing w:before="0" w:after="0"/>
        <w:ind w:left="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67(2)(b) be deleted in its entirety and be replaced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every Member holding Class B Ordinary Shares present in person (or being a corporation, is present by a duly authorised representative), or by proxy shall have fifty (50) votes for every fully paid Class B Ordinary Share of which he is the holder and on a poll every Member present in person or by proxy or, in the case of a Member being a corporation, by its duly authorised representative shall have fifty (50) votes for every fully paid Class B Ordinary Share of which he is the holder.</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28" w:type="dxa"/>
          <w:right w:w="0" w:type="dxa"/>
        </w:tblCellMar>
      </w:tblPr>
      <w:tblGrid>
        <w:gridCol w:w="1385"/>
        <w:gridCol w:w="60"/>
        <w:gridCol w:w="1160"/>
        <w:gridCol w:w="60"/>
        <w:gridCol w:w="965"/>
      </w:tblGrid>
      <w:tr>
        <w:trPr/>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405,636,790.87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2,487,216.82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778,994.15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Change of Voting Power has been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the following constitutes the votes with respect to that the approval, as a special resolution, that subject to and immediately following the Share Consolidation, the Share Capital Increase, and the Change of Voting Power taking effect, the third amended and restated memorandum of association and articles of association of the Company as set forth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to this notice (the “</w:t>
            </w:r>
            <w:r>
              <w:rPr>
                <w:rFonts w:ascii="Times New Roman;Times;Serif" w:hAnsi="Times New Roman;Times;Serif"/>
                <w:b/>
                <w:i w:val="false"/>
                <w:caps w:val="false"/>
                <w:smallCaps w:val="false"/>
                <w:sz w:val="20"/>
              </w:rPr>
              <w:t>Third Amended and Restated Memorandum and Articles of Association</w:t>
            </w:r>
            <w:r>
              <w:rPr>
                <w:rFonts w:ascii="Times New Roman;Times;Serif" w:hAnsi="Times New Roman;Times;Serif"/>
                <w:b w:val="false"/>
                <w:i w:val="false"/>
                <w:caps w:val="false"/>
                <w:smallCaps w:val="false"/>
                <w:sz w:val="20"/>
              </w:rPr>
              <w:t>”) be and are hereby approved and adopted as the memorandum of association and articles of association of the Company in substitution for, and to the exclusion of, the existing second amended and restated memorandum of association and articles of association of the Company with immediate effect, and any Director or company secretary of the Company be and is hereby authorised to do all such acts and things and execute all such documents, deeds and make all such arrangements that he shall, in his/her absolute discretion, deem necessary or expedient to implement the adoption of the Third Amended and Restated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3360" w:type="dxa"/>
        <w:jc w:val="left"/>
        <w:tblInd w:w="0" w:type="dxa"/>
        <w:tblLayout w:type="fixed"/>
        <w:tblCellMar>
          <w:top w:w="0" w:type="dxa"/>
          <w:left w:w="0" w:type="dxa"/>
          <w:bottom w:w="28" w:type="dxa"/>
          <w:right w:w="0" w:type="dxa"/>
        </w:tblCellMar>
      </w:tblPr>
      <w:tblGrid>
        <w:gridCol w:w="1325"/>
        <w:gridCol w:w="60"/>
        <w:gridCol w:w="950"/>
        <w:gridCol w:w="60"/>
        <w:gridCol w:w="965"/>
      </w:tblGrid>
      <w:tr>
        <w:trPr/>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407,646,490.84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955,179.74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301,331.25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Third Amended and Restated Memorandum and Articles of Association has been approved.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925"/>
        <w:gridCol w:w="590"/>
        <w:gridCol w:w="2000"/>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Ling Ngai Lok</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 Ngai Lok</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1571</Words>
  <Characters>7998</Characters>
  <CharactersWithSpaces>9574</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