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b/>
        </w:rPr>
      </w:pPr>
      <w:bookmarkStart w:id="0" w:name="ea0306106-424b5_solowin.htm"/>
      <w:bookmarkStart w:id="1" w:name="ksea0306106424b5_solowin"/>
      <w:bookmarkEnd w:id="0"/>
      <w:bookmarkEnd w:id="1"/>
      <w:r>
        <w:rPr>
          <w:b/>
        </w:rPr>
        <w:t>Filed Pursuant to Rule 424(b)(5)</w:t>
        <w:br/>
        <w:t>Registration No. 333-282552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(To Prospectus dated November 8,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383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5334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$2,160,000 of Class A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5,250,000 Class A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prospectus supplement and the accompanying prospectus, SOLOWIN HOLDINGS, a Cayman Islands exempted holding company (“we,” “us,” “our” or the “Company”), is offering (i) up to $2,160,000 of class A ordinary shares, $0.0001 par value per share (the “Class A Ordinary Shares”), and (ii) 5,250,000 Class A Ordinary Shares as pre-delivery shares (the “Pre-Delivery Shares”) directly to Streeterville Capital, LLC (the “Investor”), in connection with the Securities Purchase Agreement that the Company entered into with the Investor on February 9, 2026 (the “Purchase Agreement”). Pursuant to the Purchase Agreement, the Company agreed to issue and sell to the Investor one or more pre-paid purchases (the “Pre-Paid Purchases”) at an aggregate purchase price of up to $100,000,000 for the purchase of Class A Ordinary Shares. The Pre-Paid Purchases will accrue interest at the rate of eight percent (8%) per annum. Upon mutual consent, the Investor may purchase from the Company additional Pre-Paid Purchases with a purchase price of $5,000,000 or such other amounts upon such terms as the parties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consummated the initial Pre-Paid Purchase pursuant to the Purchase Agreement (“Pre-Paid Purchase #1”). Pre-Paid Purchase #1 had an original principal amount of $5,415,000 before deducting an original issue discount of $400,000 and a transaction expense amount of $15,000.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Company consummated an additional Pre-Paid Purchase pursuant to the Purchase Agreement (“Pre-Paid Purchase #2”). Pre-Paid Purchase #2 had an original principal amount of $6,480,000 before deducting an original issue discount of $480,000.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the Investor agreed to advance to us $2,000,000 as an additional Pre-Paid Purchase in the principal amount of $2,160,000 before deducting an original issue discount of $160,000 (“Pre-Paid Purchase #3”). Pursuant to a side letter entered into between the Company and the Investor, dated September 21, 2026 (the “Side Letter”), the Company agreed to issue the Pre-Delivery Shares at a purchase price of $0.0001 per share within five (5) business days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January 1, 2027, the Company may make monthly cash payments of $300,000 on the first day of each calendar month while any balance remains outstanding (the “Amortization Payments”). If the Company fails to make any Amortization Payment by the applicable due date, the Investor has the right to require the Company to issue and sell Class A Ordinary Shares in the respective calendar month in an aggregate amount (the “Purchase Amount”) up to the higher of (i) $300,000 or (ii) ten percent (10%) of the aggregate dollar trading volume of the Class A Ordinary Shares on all trading markets for the immediately preceding calendar month. The purchase price per Class A Ordinary Share will be 85% of the lower of (i) the closing trade price on the trading day immediately prior to the purchase notice date or (ii) the average of the daily VWAPs (as defined in Pre-Paid Purchase #3) during the ten (10) trading days immediately prior to the purchase notice date. The Investor shall pay the purchase price of the Class A Ordinary Shares by offsetting the Purchase Amount against the outstanding balance under Pre-Paid Purchase #3. Notwithstanding the foregoing, in no event may the Investor beneficially own, together with its affiliates, more than 9.99% of the Company’s outstanding Class A Ordinary Shares as a result of any share issuance under Pre-Paid Purchase #3. If the Company repays more than fifty percent (50%) of the purchase price of Pre-Paid Purchase #3 in cash through the Amortization Payments, all subsequent Amortization Payments will be subject to a twenty-five percent (25%) payment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Company’s issuance of Class A Ordinary Shares to the Investor pursuant to the Purchase Agreement, Pre-Paid Purchase #3 and the Side Letter, this prospectus supplement also covers the resale of those shares from time to time by the Investor to the public. The Investor may sell the Class A Ordinary Shares included in this prospectus supplement in a number of different ways and at varying prices. We provide more information about how the Investor may sell the shares in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The Investor may be deemed an “underwriter” within the meaning of Section 2(a)(11) of the Securities Act of 1933, as amended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issued and outstanding share capital consists of Class A Ordinary Shares and class B ordinary shares, par value $0.0001 per share (the “Class B Ordinary Shares”). Our Class A Ordinary Shares are entitled to one (1) vote per share, and our Class B Ordinary Shares are entitled to ten (10) votes per share. Our Class B Ordinary Shares are convertible into Class A Ordinary Shares on a 1:1 basis at the option of the holder without the payment of additional consideration. In addition, upon any sale, transfer, assignment or disposition of Class B Ordinary Shares to a person or entity which is not an affiliate, such Class B Ordinary Shares will automatically convert into Class A Ordinary Shares. Other than voting and conversion rights, our Class A Ordinary Shares and Class B Ordinary Shares have the same rights and preferences and rank equally. The Class A Ordinary Shares and the Class B Ordinary Shares are collectively referred to as “Ordinary Shares” in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(“Nasdaq”) under the symbol “AXG.” The last reported sale price of our Class A Ordinary Shares on Nasdaq on September 18, 2026 was $1.87 per share. As of the date of this prospectus supplement, the aggregate market value of our outstanding Class A Ordinary Shares held by non-affiliates was approximately $223 million, based on 163,030,788 Class A Ordinary Shares issued and outstanding, of which 69,704,394 Class A Ordinary Shares were held by non-affiliates, and the last sale price of $3.20 per Class A Ordinary Share on July 23, 2026, which was the highest closing price within the last 60 days prior to the date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carefully consider the risks described under the heading “Risk Factors” beginning on page S-5 of this prospectus supplement and on page 12 of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states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September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4115"/>
        <w:gridCol w:w="60"/>
        <w:gridCol w:w="53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4115" w:type="dxa"/>
            <w:tcBorders/>
            <w:shd w:fill="CCEEFF" w:val="clear"/>
            <w:vAlign w:val="center"/>
          </w:tcPr>
          <w:p>
            <w:pPr>
              <w:pStyle w:val="TableContents"/>
              <w:bidi w:val="0"/>
              <w:spacing w:before="0" w:after="283"/>
              <w:jc w:val="left"/>
              <w:rPr/>
            </w:pPr>
            <w:hyperlink w:anchor="s_001">
              <w:r>
                <w:rPr>
                  <w:rStyle w:val="InternetLink"/>
                  <w:rFonts w:ascii="Times New Roman;Times;Serif" w:hAnsi="Times New Roman;Times;Serif"/>
                  <w:sz w:val="20"/>
                </w:rPr>
                <w:t>Prospectus Supplement Summary</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4115" w:type="dxa"/>
            <w:tcBorders/>
            <w:shd w:fill="FFFFFF" w:val="clear"/>
            <w:vAlign w:val="center"/>
          </w:tcPr>
          <w:p>
            <w:pPr>
              <w:pStyle w:val="TableContents"/>
              <w:bidi w:val="0"/>
              <w:spacing w:before="0" w:after="283"/>
              <w:jc w:val="left"/>
              <w:rPr/>
            </w:pPr>
            <w:hyperlink w:anchor="s_002">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S-5</w:t>
            </w:r>
          </w:p>
        </w:tc>
      </w:tr>
      <w:tr>
        <w:trPr/>
        <w:tc>
          <w:tcPr>
            <w:tcW w:w="4115" w:type="dxa"/>
            <w:tcBorders/>
            <w:shd w:fill="CCEEFF" w:val="clear"/>
            <w:vAlign w:val="center"/>
          </w:tcPr>
          <w:p>
            <w:pPr>
              <w:pStyle w:val="TableContents"/>
              <w:bidi w:val="0"/>
              <w:spacing w:before="0" w:after="283"/>
              <w:jc w:val="left"/>
              <w:rPr/>
            </w:pPr>
            <w:hyperlink w:anchor="s_003">
              <w:r>
                <w:rPr>
                  <w:rStyle w:val="InternetLink"/>
                  <w:rFonts w:ascii="Times New Roman;Times;Serif" w:hAnsi="Times New Roman;Times;Serif"/>
                  <w:sz w:val="20"/>
                </w:rPr>
                <w:t>Forward-Looking Statements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r>
      <w:tr>
        <w:trPr/>
        <w:tc>
          <w:tcPr>
            <w:tcW w:w="4115" w:type="dxa"/>
            <w:tcBorders/>
            <w:shd w:fill="FFFFFF" w:val="clear"/>
            <w:vAlign w:val="center"/>
          </w:tcPr>
          <w:p>
            <w:pPr>
              <w:pStyle w:val="TableContents"/>
              <w:bidi w:val="0"/>
              <w:spacing w:before="0" w:after="283"/>
              <w:jc w:val="left"/>
              <w:rPr/>
            </w:pPr>
            <w:hyperlink w:anchor="s_004">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r>
      <w:tr>
        <w:trPr/>
        <w:tc>
          <w:tcPr>
            <w:tcW w:w="4115" w:type="dxa"/>
            <w:tcBorders/>
            <w:shd w:fill="CCEEFF" w:val="clear"/>
            <w:vAlign w:val="center"/>
          </w:tcPr>
          <w:p>
            <w:pPr>
              <w:pStyle w:val="TableContents"/>
              <w:bidi w:val="0"/>
              <w:spacing w:before="0" w:after="283"/>
              <w:jc w:val="left"/>
              <w:rPr/>
            </w:pPr>
            <w:hyperlink w:anchor="s_005">
              <w:r>
                <w:rPr>
                  <w:rStyle w:val="InternetLink"/>
                  <w:rFonts w:ascii="Times New Roman;Times;Serif" w:hAnsi="Times New Roman;Times;Serif"/>
                  <w:sz w:val="20"/>
                </w:rPr>
                <w:t>Dilution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S-9</w:t>
            </w:r>
          </w:p>
        </w:tc>
      </w:tr>
      <w:tr>
        <w:trPr/>
        <w:tc>
          <w:tcPr>
            <w:tcW w:w="4115" w:type="dxa"/>
            <w:tcBorders/>
            <w:shd w:fill="FFFFFF" w:val="clear"/>
            <w:vAlign w:val="center"/>
          </w:tcPr>
          <w:p>
            <w:pPr>
              <w:pStyle w:val="TableContents"/>
              <w:bidi w:val="0"/>
              <w:spacing w:before="0" w:after="283"/>
              <w:jc w:val="left"/>
              <w:rPr/>
            </w:pPr>
            <w:hyperlink w:anchor="s_006">
              <w:r>
                <w:rPr>
                  <w:rStyle w:val="InternetLink"/>
                  <w:rFonts w:ascii="Times New Roman;Times;Serif" w:hAnsi="Times New Roman;Times;Serif"/>
                  <w:sz w:val="20"/>
                </w:rPr>
                <w:t>Description of Securities Being Offered</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S-10</w:t>
            </w:r>
          </w:p>
        </w:tc>
      </w:tr>
      <w:tr>
        <w:trPr/>
        <w:tc>
          <w:tcPr>
            <w:tcW w:w="4115" w:type="dxa"/>
            <w:tcBorders/>
            <w:shd w:fill="CCEEFF" w:val="clear"/>
            <w:vAlign w:val="center"/>
          </w:tcPr>
          <w:p>
            <w:pPr>
              <w:pStyle w:val="TableContents"/>
              <w:bidi w:val="0"/>
              <w:spacing w:before="0" w:after="283"/>
              <w:jc w:val="left"/>
              <w:rPr/>
            </w:pPr>
            <w:hyperlink w:anchor="s_007">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S-11</w:t>
            </w:r>
          </w:p>
        </w:tc>
      </w:tr>
      <w:tr>
        <w:trPr/>
        <w:tc>
          <w:tcPr>
            <w:tcW w:w="4115" w:type="dxa"/>
            <w:tcBorders/>
            <w:shd w:fill="FFFFFF" w:val="clear"/>
            <w:vAlign w:val="center"/>
          </w:tcPr>
          <w:p>
            <w:pPr>
              <w:pStyle w:val="TableContents"/>
              <w:bidi w:val="0"/>
              <w:spacing w:before="0" w:after="283"/>
              <w:jc w:val="left"/>
              <w:rPr/>
            </w:pPr>
            <w:hyperlink w:anchor="s_008">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r>
        <w:trPr/>
        <w:tc>
          <w:tcPr>
            <w:tcW w:w="4115" w:type="dxa"/>
            <w:tcBorders/>
            <w:shd w:fill="CCEEFF" w:val="clear"/>
            <w:vAlign w:val="center"/>
          </w:tcPr>
          <w:p>
            <w:pPr>
              <w:pStyle w:val="TableContents"/>
              <w:bidi w:val="0"/>
              <w:spacing w:before="0" w:after="283"/>
              <w:jc w:val="left"/>
              <w:rPr/>
            </w:pPr>
            <w:hyperlink w:anchor="s_009">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r>
        <w:trPr/>
        <w:tc>
          <w:tcPr>
            <w:tcW w:w="4115" w:type="dxa"/>
            <w:tcBorders/>
            <w:shd w:fill="FFFFFF" w:val="clear"/>
            <w:vAlign w:val="center"/>
          </w:tcPr>
          <w:p>
            <w:pPr>
              <w:pStyle w:val="TableContents"/>
              <w:bidi w:val="0"/>
              <w:spacing w:before="0" w:after="283"/>
              <w:jc w:val="left"/>
              <w:rPr/>
            </w:pPr>
            <w:hyperlink w:anchor="s_010">
              <w:r>
                <w:rPr>
                  <w:rStyle w:val="InternetLink"/>
                  <w:rFonts w:ascii="Times New Roman;Times;Serif" w:hAnsi="Times New Roman;Times;Serif"/>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r>
        <w:trPr/>
        <w:tc>
          <w:tcPr>
            <w:tcW w:w="4115" w:type="dxa"/>
            <w:tcBorders/>
            <w:shd w:fill="CCEEFF" w:val="clear"/>
            <w:vAlign w:val="center"/>
          </w:tcPr>
          <w:p>
            <w:pPr>
              <w:pStyle w:val="TableContents"/>
              <w:bidi w:val="0"/>
              <w:spacing w:before="0" w:after="283"/>
              <w:jc w:val="left"/>
              <w:rPr/>
            </w:pPr>
            <w:hyperlink w:anchor="s_011">
              <w:r>
                <w:rPr>
                  <w:rStyle w:val="InternetLink"/>
                  <w:rFonts w:ascii="Times New Roman;Times;Serif" w:hAnsi="Times New Roman;Times;Serif"/>
                  <w:sz w:val="20"/>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Base Prospectus</w:t>
      </w:r>
    </w:p>
    <w:p>
      <w:pPr>
        <w:pStyle w:val="TextBody"/>
        <w:bidi w:val="0"/>
        <w:spacing w:before="0" w:after="0"/>
        <w:ind w:left="0" w:right="0" w:hanging="0"/>
        <w:jc w:val="center"/>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4805"/>
        <w:gridCol w:w="60"/>
        <w:gridCol w:w="275"/>
      </w:tblGrid>
      <w:tr>
        <w:trPr/>
        <w:tc>
          <w:tcPr>
            <w:tcW w:w="4805" w:type="dxa"/>
            <w:tcBorders/>
            <w:shd w:fill="CCEEFF" w:val="clear"/>
            <w:vAlign w:val="center"/>
          </w:tcPr>
          <w:p>
            <w:pPr>
              <w:pStyle w:val="TableContents"/>
              <w:bidi w:val="0"/>
              <w:spacing w:before="0" w:after="283"/>
              <w:jc w:val="left"/>
              <w:rPr/>
            </w:pPr>
            <w:hyperlink w:anchor="a_002">
              <w:r>
                <w:rPr>
                  <w:rStyle w:val="InternetLink"/>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1</w:t>
            </w:r>
          </w:p>
        </w:tc>
      </w:tr>
      <w:tr>
        <w:trPr/>
        <w:tc>
          <w:tcPr>
            <w:tcW w:w="4805" w:type="dxa"/>
            <w:tcBorders/>
            <w:shd w:fill="FFFFFF" w:val="clear"/>
            <w:vAlign w:val="center"/>
          </w:tcPr>
          <w:p>
            <w:pPr>
              <w:pStyle w:val="TableContents"/>
              <w:bidi w:val="0"/>
              <w:spacing w:before="0" w:after="283"/>
              <w:jc w:val="left"/>
              <w:rPr/>
            </w:pPr>
            <w:hyperlink w:anchor="a_003">
              <w:r>
                <w:rPr>
                  <w:rStyle w:val="InternetLink"/>
                </w:rPr>
                <w:t>Risk Factors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12</w:t>
            </w:r>
          </w:p>
        </w:tc>
      </w:tr>
      <w:tr>
        <w:trPr/>
        <w:tc>
          <w:tcPr>
            <w:tcW w:w="4805" w:type="dxa"/>
            <w:tcBorders/>
            <w:shd w:fill="CCEEFF" w:val="clear"/>
            <w:vAlign w:val="center"/>
          </w:tcPr>
          <w:p>
            <w:pPr>
              <w:pStyle w:val="TableContents"/>
              <w:bidi w:val="0"/>
              <w:spacing w:before="0" w:after="283"/>
              <w:jc w:val="left"/>
              <w:rPr/>
            </w:pPr>
            <w:hyperlink w:anchor="a_004">
              <w:r>
                <w:rPr>
                  <w:rStyle w:val="InternetLink"/>
                </w:rPr>
                <w:t>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42</w:t>
            </w:r>
          </w:p>
        </w:tc>
      </w:tr>
      <w:tr>
        <w:trPr/>
        <w:tc>
          <w:tcPr>
            <w:tcW w:w="4805" w:type="dxa"/>
            <w:tcBorders/>
            <w:shd w:fill="FFFFFF" w:val="clear"/>
            <w:vAlign w:val="center"/>
          </w:tcPr>
          <w:p>
            <w:pPr>
              <w:pStyle w:val="TableContents"/>
              <w:bidi w:val="0"/>
              <w:spacing w:before="0" w:after="283"/>
              <w:jc w:val="left"/>
              <w:rPr/>
            </w:pPr>
            <w:hyperlink w:anchor="a_005">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42</w:t>
            </w:r>
          </w:p>
        </w:tc>
      </w:tr>
      <w:tr>
        <w:trPr/>
        <w:tc>
          <w:tcPr>
            <w:tcW w:w="4805" w:type="dxa"/>
            <w:tcBorders/>
            <w:shd w:fill="CCEEFF" w:val="clear"/>
            <w:vAlign w:val="center"/>
          </w:tcPr>
          <w:p>
            <w:pPr>
              <w:pStyle w:val="TableContents"/>
              <w:bidi w:val="0"/>
              <w:spacing w:before="0" w:after="283"/>
              <w:jc w:val="left"/>
              <w:rPr/>
            </w:pPr>
            <w:hyperlink w:anchor="a_006">
              <w:r>
                <w:rPr>
                  <w:rStyle w:val="InternetLink"/>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42</w:t>
            </w:r>
          </w:p>
        </w:tc>
      </w:tr>
      <w:tr>
        <w:trPr/>
        <w:tc>
          <w:tcPr>
            <w:tcW w:w="4805" w:type="dxa"/>
            <w:tcBorders/>
            <w:shd w:fill="FFFFFF" w:val="clear"/>
            <w:vAlign w:val="center"/>
          </w:tcPr>
          <w:p>
            <w:pPr>
              <w:pStyle w:val="TableContents"/>
              <w:bidi w:val="0"/>
              <w:spacing w:before="0" w:after="283"/>
              <w:jc w:val="left"/>
              <w:rPr/>
            </w:pPr>
            <w:hyperlink w:anchor="a_007">
              <w:r>
                <w:rPr>
                  <w:rStyle w:val="InternetLink"/>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43</w:t>
            </w:r>
          </w:p>
        </w:tc>
      </w:tr>
      <w:tr>
        <w:trPr/>
        <w:tc>
          <w:tcPr>
            <w:tcW w:w="4805" w:type="dxa"/>
            <w:tcBorders/>
            <w:shd w:fill="CCEEFF" w:val="clear"/>
            <w:vAlign w:val="center"/>
          </w:tcPr>
          <w:p>
            <w:pPr>
              <w:pStyle w:val="TableContents"/>
              <w:bidi w:val="0"/>
              <w:spacing w:before="0" w:after="283"/>
              <w:jc w:val="left"/>
              <w:rPr/>
            </w:pPr>
            <w:hyperlink w:anchor="a_008">
              <w:r>
                <w:rPr>
                  <w:rStyle w:val="InternetLink"/>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43</w:t>
            </w:r>
          </w:p>
        </w:tc>
      </w:tr>
      <w:tr>
        <w:trPr/>
        <w:tc>
          <w:tcPr>
            <w:tcW w:w="4805" w:type="dxa"/>
            <w:tcBorders/>
            <w:shd w:fill="FFFFFF" w:val="clear"/>
            <w:vAlign w:val="center"/>
          </w:tcPr>
          <w:p>
            <w:pPr>
              <w:pStyle w:val="TableContents"/>
              <w:bidi w:val="0"/>
              <w:spacing w:before="0" w:after="283"/>
              <w:jc w:val="left"/>
              <w:rPr/>
            </w:pPr>
            <w:hyperlink w:anchor="a_009">
              <w:r>
                <w:rPr>
                  <w:rStyle w:val="InternetLink"/>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52</w:t>
            </w:r>
          </w:p>
        </w:tc>
      </w:tr>
      <w:tr>
        <w:trPr/>
        <w:tc>
          <w:tcPr>
            <w:tcW w:w="4805" w:type="dxa"/>
            <w:tcBorders/>
            <w:shd w:fill="CCEEFF" w:val="clear"/>
            <w:vAlign w:val="center"/>
          </w:tcPr>
          <w:p>
            <w:pPr>
              <w:pStyle w:val="TableContents"/>
              <w:bidi w:val="0"/>
              <w:spacing w:before="0" w:after="283"/>
              <w:jc w:val="left"/>
              <w:rPr/>
            </w:pPr>
            <w:hyperlink w:anchor="a_010">
              <w:r>
                <w:rPr>
                  <w:rStyle w:val="InternetLink"/>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53</w:t>
            </w:r>
          </w:p>
        </w:tc>
      </w:tr>
      <w:tr>
        <w:trPr/>
        <w:tc>
          <w:tcPr>
            <w:tcW w:w="4805" w:type="dxa"/>
            <w:tcBorders/>
            <w:shd w:fill="FFFFFF" w:val="clear"/>
            <w:vAlign w:val="center"/>
          </w:tcPr>
          <w:p>
            <w:pPr>
              <w:pStyle w:val="TableContents"/>
              <w:bidi w:val="0"/>
              <w:spacing w:before="0" w:after="283"/>
              <w:jc w:val="left"/>
              <w:rPr/>
            </w:pPr>
            <w:hyperlink w:anchor="a_011">
              <w:r>
                <w:rPr>
                  <w:rStyle w:val="InternetLink"/>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54</w:t>
            </w:r>
          </w:p>
        </w:tc>
      </w:tr>
      <w:tr>
        <w:trPr/>
        <w:tc>
          <w:tcPr>
            <w:tcW w:w="4805" w:type="dxa"/>
            <w:tcBorders/>
            <w:shd w:fill="CCEEFF" w:val="clear"/>
            <w:vAlign w:val="center"/>
          </w:tcPr>
          <w:p>
            <w:pPr>
              <w:pStyle w:val="TableContents"/>
              <w:bidi w:val="0"/>
              <w:spacing w:before="0" w:after="283"/>
              <w:jc w:val="left"/>
              <w:rPr/>
            </w:pPr>
            <w:hyperlink w:anchor="a_012">
              <w:r>
                <w:rPr>
                  <w:rStyle w:val="InternetLink"/>
                </w:rPr>
                <w:t>Selling Shareholder</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55</w:t>
            </w:r>
          </w:p>
        </w:tc>
      </w:tr>
      <w:tr>
        <w:trPr/>
        <w:tc>
          <w:tcPr>
            <w:tcW w:w="4805" w:type="dxa"/>
            <w:tcBorders/>
            <w:shd w:fill="FFFFFF" w:val="clear"/>
            <w:vAlign w:val="center"/>
          </w:tcPr>
          <w:p>
            <w:pPr>
              <w:pStyle w:val="TableContents"/>
              <w:bidi w:val="0"/>
              <w:spacing w:before="0" w:after="283"/>
              <w:jc w:val="left"/>
              <w:rPr/>
            </w:pPr>
            <w:hyperlink w:anchor="a_013">
              <w:r>
                <w:rPr>
                  <w:rStyle w:val="InternetLink"/>
                </w:rPr>
                <w:t>Taxation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55</w:t>
            </w:r>
          </w:p>
        </w:tc>
      </w:tr>
      <w:tr>
        <w:trPr/>
        <w:tc>
          <w:tcPr>
            <w:tcW w:w="4805" w:type="dxa"/>
            <w:tcBorders/>
            <w:shd w:fill="CCEEFF" w:val="clear"/>
            <w:vAlign w:val="center"/>
          </w:tcPr>
          <w:p>
            <w:pPr>
              <w:pStyle w:val="TableContents"/>
              <w:bidi w:val="0"/>
              <w:spacing w:before="0" w:after="283"/>
              <w:jc w:val="left"/>
              <w:rPr/>
            </w:pPr>
            <w:hyperlink w:anchor="a_014">
              <w:r>
                <w:rPr>
                  <w:rStyle w:val="InternetLink"/>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56</w:t>
            </w:r>
          </w:p>
        </w:tc>
      </w:tr>
      <w:tr>
        <w:trPr/>
        <w:tc>
          <w:tcPr>
            <w:tcW w:w="4805" w:type="dxa"/>
            <w:tcBorders/>
            <w:shd w:fill="FFFFFF" w:val="clear"/>
            <w:vAlign w:val="center"/>
          </w:tcPr>
          <w:p>
            <w:pPr>
              <w:pStyle w:val="TableContents"/>
              <w:bidi w:val="0"/>
              <w:spacing w:before="0" w:after="283"/>
              <w:jc w:val="left"/>
              <w:rPr/>
            </w:pPr>
            <w:hyperlink w:anchor="a_015">
              <w:r>
                <w:rPr>
                  <w:rStyle w:val="InternetLink"/>
                </w:rPr>
                <w:t>Expenses of Issuance and Distribution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58</w:t>
            </w:r>
          </w:p>
        </w:tc>
      </w:tr>
      <w:tr>
        <w:trPr/>
        <w:tc>
          <w:tcPr>
            <w:tcW w:w="4805" w:type="dxa"/>
            <w:tcBorders/>
            <w:shd w:fill="CCEEFF" w:val="clear"/>
            <w:vAlign w:val="center"/>
          </w:tcPr>
          <w:p>
            <w:pPr>
              <w:pStyle w:val="TableContents"/>
              <w:bidi w:val="0"/>
              <w:spacing w:before="0" w:after="283"/>
              <w:jc w:val="left"/>
              <w:rPr/>
            </w:pPr>
            <w:hyperlink w:anchor="a_016">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58</w:t>
            </w:r>
          </w:p>
        </w:tc>
      </w:tr>
      <w:tr>
        <w:trPr/>
        <w:tc>
          <w:tcPr>
            <w:tcW w:w="4805" w:type="dxa"/>
            <w:tcBorders/>
            <w:shd w:fill="FFFFFF" w:val="clear"/>
            <w:vAlign w:val="center"/>
          </w:tcPr>
          <w:p>
            <w:pPr>
              <w:pStyle w:val="TableContents"/>
              <w:bidi w:val="0"/>
              <w:spacing w:before="0" w:after="283"/>
              <w:jc w:val="left"/>
              <w:rPr/>
            </w:pPr>
            <w:hyperlink w:anchor="a_017">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58</w:t>
            </w:r>
          </w:p>
        </w:tc>
      </w:tr>
      <w:tr>
        <w:trPr/>
        <w:tc>
          <w:tcPr>
            <w:tcW w:w="4805" w:type="dxa"/>
            <w:tcBorders/>
            <w:shd w:fill="CCEEFF" w:val="clear"/>
            <w:vAlign w:val="center"/>
          </w:tcPr>
          <w:p>
            <w:pPr>
              <w:pStyle w:val="TableContents"/>
              <w:bidi w:val="0"/>
              <w:spacing w:before="0" w:after="283"/>
              <w:jc w:val="left"/>
              <w:rPr/>
            </w:pPr>
            <w:hyperlink w:anchor="a_018">
              <w:r>
                <w:rPr>
                  <w:rStyle w:val="InternetLink"/>
                </w:rPr>
                <w:t>Indemnification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58</w:t>
            </w:r>
          </w:p>
        </w:tc>
      </w:tr>
      <w:tr>
        <w:trPr/>
        <w:tc>
          <w:tcPr>
            <w:tcW w:w="4805" w:type="dxa"/>
            <w:tcBorders/>
            <w:shd w:fill="FFFFFF" w:val="clear"/>
            <w:vAlign w:val="center"/>
          </w:tcPr>
          <w:p>
            <w:pPr>
              <w:pStyle w:val="TableContents"/>
              <w:bidi w:val="0"/>
              <w:spacing w:before="0" w:after="283"/>
              <w:jc w:val="left"/>
              <w:rPr/>
            </w:pPr>
            <w:hyperlink w:anchor="a_019">
              <w:r>
                <w:rPr>
                  <w:rStyle w:val="InternetLink"/>
                </w:rPr>
                <w:t>Enforcement of Civil Liabilities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59</w:t>
            </w:r>
          </w:p>
        </w:tc>
      </w:tr>
      <w:tr>
        <w:trPr/>
        <w:tc>
          <w:tcPr>
            <w:tcW w:w="4805" w:type="dxa"/>
            <w:tcBorders/>
            <w:shd w:fill="CCEEFF" w:val="clear"/>
            <w:vAlign w:val="center"/>
          </w:tcPr>
          <w:p>
            <w:pPr>
              <w:pStyle w:val="TableContents"/>
              <w:bidi w:val="0"/>
              <w:spacing w:before="0" w:after="283"/>
              <w:jc w:val="left"/>
              <w:rPr/>
            </w:pPr>
            <w:hyperlink w:anchor="a_020">
              <w:r>
                <w:rPr>
                  <w:rStyle w:val="InternetLink"/>
                </w:rPr>
                <w:t>Material Changes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60</w:t>
            </w:r>
          </w:p>
        </w:tc>
      </w:tr>
      <w:tr>
        <w:trPr/>
        <w:tc>
          <w:tcPr>
            <w:tcW w:w="4805" w:type="dxa"/>
            <w:tcBorders/>
            <w:shd w:fill="FFFFFF" w:val="clear"/>
            <w:vAlign w:val="center"/>
          </w:tcPr>
          <w:p>
            <w:pPr>
              <w:pStyle w:val="TableContents"/>
              <w:bidi w:val="0"/>
              <w:spacing w:before="0" w:after="283"/>
              <w:jc w:val="left"/>
              <w:rPr/>
            </w:pPr>
            <w:hyperlink w:anchor="a_021">
              <w:r>
                <w:rPr>
                  <w:rStyle w:val="InternetLink"/>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60</w:t>
            </w:r>
          </w:p>
        </w:tc>
      </w:tr>
      <w:tr>
        <w:trPr/>
        <w:tc>
          <w:tcPr>
            <w:tcW w:w="4805" w:type="dxa"/>
            <w:tcBorders/>
            <w:shd w:fill="CCEEFF" w:val="clear"/>
            <w:vAlign w:val="center"/>
          </w:tcPr>
          <w:p>
            <w:pPr>
              <w:pStyle w:val="TableContents"/>
              <w:bidi w:val="0"/>
              <w:spacing w:before="0" w:after="283"/>
              <w:jc w:val="left"/>
              <w:rPr/>
            </w:pPr>
            <w:hyperlink w:anchor="a_022">
              <w:r>
                <w:rPr>
                  <w:rStyle w:val="InternetLink"/>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61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supplement and the accompanying prospectus. We have not authorized anyone else to provide you with additional or different information. We are offering to sell, and seeking offers to buy Class A Ordinary Shares only in jurisdictions where offers and sales are permitted. You should not assume that the information in this prospectus supplement or the accompanying prospectus is accurate as of any date other than the date on the front of those documents or that any document incorporated by reference is accurate as of any date other than its filing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action is being taken in any jurisdiction outside the United States to permit a public offering of the Class A Ordinary Shares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and the accompanying prospectus applicable to that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2024, we filed with the Securities and Exchange Commission (the “SEC”) a registration statement on Form F-3 (File No. 333-282552), as amended, utilizing a shelf registration process relating to the Securities described in this prospectus supplement. The registration statement was declared effective on November 8, 2024. Under this shelf registration process, we have registered, among others, to sell, from time to time, up to $200,000,000 in the aggregate of Class A Ordinary Shares, preferred shares, debt securities, warrants, rights and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is in two parts. The first part is the prospectus supplement, which describes the specific terms of this offering and adds, updates, and changes information contained in the accompanying prospectus. The second part is the accompanying prospectus, which gives more general information, some of which may not apply to this offering. To the extent there is a conflict between the information contained in this prospectus supplement and the information contained in the accompanying prospectus or any document incorporated by reference, you should rely on the information in this prospectus supplement. However, if any statement in one of these documents is inconsistent with a statement in another document with a later date—for example, a document incorporated by reference in this prospectus supplement or the accompanying prospectus—the statement in the document with the later date modifies or supersedes the earlier statement, as our business, financial condition, results of operations, and prospects may have changed since the earlier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include important information about us, our Class A Ordinary Shares, and other information you should know before investing. You should carefully read this prospectus supplement, the accompanying prospectus, all information incorporated by reference herein and therein, as well as the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any free writing prospectus may contain and incorporate by reference market data,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it. In addition, the market and industry data and forecasts that may be included or incorporated by reference in this prospectus supplement, the accompanying prospectus, or any applicable free writing prospectus may involve estimates, assumptions, and other risks and uncertainties and are subject to change based on various factors, including those discussed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supplement, the accompanying prospectus, any applicable free writing prospectus, and under similar headings in other documents that are incorporated by reference into this prospectus supplement. Accordingly, investors should not place undue reliance on this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2" w:name="s_001"/>
      <w:bookmarkEnd w:id="2"/>
      <w:r>
        <w:rPr>
          <w:rFonts w:ascii="Times New Roman;Times;Serif" w:hAnsi="Times New Roman;Times;Serif"/>
          <w:b/>
          <w:i w:val="false"/>
          <w:caps w:val="false"/>
          <w:smallCaps w:val="false"/>
          <w:sz w:val="20"/>
          <w:bdr w:val="single" w:sz="12" w:space="1" w:color="000000"/>
        </w:rPr>
        <w:t>PROSPECTUS SUPPLEMENT 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This summary highlights selected information that is presented in greater detail elsewhere, or incorporated by reference, in this prospectus supplement and the accompanying prospectus. It does not contain all of the information that may be important to you and your investment decision. Before investing in our securities, you should carefully read this entire prospectus supplement and the accompanying prospectus, including the matters set forth under the section of this prospectus supplement captioned “Risk Factors” and the financial statements and related notes and other information that we incorporate by reference herein, including, but not limited to, our annual reports on Form 20-F and our other reports. See “Incorporation of Certain Information by Reference.”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Unless the context otherwise requires, the terms “we,” “our,” “us,” “the Company,” and similar references in this prospectus refer to SOLOWIN HOLDINGS, an exempted limited liability company incorporated in the Cayman Islands, and its consolidated subsidiaries, including: Solomon JFZ (Asia) Holdings Limited, a Hong Kong corporation (“Solomon JFZ”); Solomon Private Wealth Limited, a Hong Kong corporation (“Solomon Wealth”); Solomon Global Asset Management Limited, a British Virgin Islands company; AlloyX Limited, an exempted company incorporated in the Cayman Islands and its subsidiaries Master Venus Limited, AlloyX (Hong Kong) Limited, AlloyX Group Pte. Limited and Bravo Valor Partners Limited (collectively, the “AlloyX Group”); AlloyX Ventures Limited, a Hong Kong corporation; AX Coin Limited, an exempted company incorporated in the Cayman Islands; AX Coin HK Limited, a Hong Kong corporation; and AX Coin Bahrain B.S.C. Closed, a company organized in the Kingdom of Bahrain (“AX Coin Bahrain”). </w:t>
      </w:r>
    </w:p>
    <w:p>
      <w:pPr>
        <w:pStyle w:val="TextBody"/>
        <w:bidi w:val="0"/>
        <w:spacing w:before="0" w:after="0"/>
        <w:ind w:left="0" w:right="0" w:hanging="0"/>
        <w:jc w:val="center"/>
        <w:rPr>
          <w:smallCaps/>
          <w:bdr w:val="single" w:sz="12" w:space="1" w:color="000000"/>
        </w:rPr>
      </w:pPr>
      <w:r>
        <w:rPr>
          <w:smallCaps/>
          <w:bdr w:val="single" w:sz="12" w:space="1" w:color="000000"/>
        </w:rPr>
        <w:t> </w:t>
      </w:r>
    </w:p>
    <w:p>
      <w:pPr>
        <w:pStyle w:val="TextBody"/>
        <w:bidi w:val="0"/>
        <w:spacing w:before="0" w:after="0"/>
        <w:ind w:left="0" w:right="0" w:hanging="0"/>
        <w:jc w:val="center"/>
        <w:rPr>
          <w:rFonts w:ascii="Times New Roman;Times;Serif" w:hAnsi="Times New Roman;Times;Serif"/>
          <w:b/>
          <w:i w:val="false"/>
          <w:smallCaps/>
          <w:sz w:val="20"/>
          <w:bdr w:val="single" w:sz="12" w:space="1" w:color="000000"/>
        </w:rPr>
      </w:pPr>
      <w:r>
        <w:rPr>
          <w:rFonts w:ascii="Times New Roman;Times;Serif" w:hAnsi="Times New Roman;Times;Serif"/>
          <w:b/>
          <w:i w:val="false"/>
          <w:smallCaps/>
          <w:sz w:val="20"/>
          <w:bdr w:val="single" w:sz="12" w:space="1" w:color="000000"/>
        </w:rPr>
        <w:t>The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shd w:fill="FFFFFF" w:val="clear"/>
        </w:rPr>
      </w:pPr>
      <w:r>
        <w:rPr>
          <w:rFonts w:ascii="Times New Roman;Times;Serif" w:hAnsi="Times New Roman;Times;Serif"/>
          <w:b/>
          <w:i w:val="false"/>
          <w:caps w:val="false"/>
          <w:smallCaps w:val="false"/>
          <w:sz w:val="20"/>
          <w:bdr w:val="single" w:sz="12" w:space="1" w:color="000000"/>
          <w:shd w:fill="FFFFFF" w:val="clear"/>
        </w:rPr>
        <w:t>Company Overview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is a leading global regulated financial technology company that bridges traditional finance with the digital asset and artificial intelligence (“AI”) economies. Tracing its operating history to 2016 through its Hong Kong subsidiary Solomon JFZ, the Company combines blockchain and artificial intelligence technologies to operate a fully compliant, dual-token digital economy platform. Guided by our mission, “Mobilizing Tokens 24/7,” we focus on tokenization and operate two core business pillars: Digital Asset Tokens and AI Tokens. Our offerings, delivered principally through our subsidiaries — including Solomon JFZ, Solomon Wealth, AlloyX Group, and AX Coin Bahrain — span regulated stablecoin issuance and payments, asset tokenization, securities trading and asset management, and AI-powered enterprise services.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fiscal year ended March 31, 2026 represented a period of fundamental strategic transformation for the Company. Following the combination with AlloyX Group and the change of our Nasdaq ticker symbol to “AXG,” we executed a deliberate strategic shift to prioritize digital asset and AI infrastructure businesses, while continuing to operate and grow our regulated Hong Kong securities and virtual asset franchise. This evolution transformed the Company from a Hong Kong–centric securities and virtual asset services firm into a global, dual-pillar digital economy infrastructure platform encompassing regulated stablecoin issuance, digital currency treasury and payment infrastructure, real-world asset tokenization, full-licensed brokerage and asset management, and enterprise-grade AI services. The transformation was validated by significant operating momentum: for the fiscal year ended March 31, 2026, we generated revenue of $28.05 million, representing nearly tenfold year-over-year growth from $2.82 million in the prior year, and, in June 2026, our subsidiary AX Coin Bahrain became the first stablecoin issuer to be granted a full license under the Central Bank of Bahrain’s stablecoin regulatory framework.</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operations are organized around two complementary and mutually reinforcing strategic pillars. The Digital Asset Tokens pillar provides regulated financial infrastructure for the issuance, trading, custody, payment, and tokenization of digital assets. The AI Tokens pillar provides enterprise-grade AI infrastructure — including AI model aggregation and AI agent governance — that we believe positions the Company at the intersection of two of the most significant secular trends in financial technology: the institutional adoption of regulated stablecoins and tokenized assets, and the enterprise adoption of AI and autonomous agents. The two pillars are connected by shared treasury, custody, payment, and compliance infrastructure, enabling what we refer to as an integrated “dual-token” ecosystem in which both digital asset tokens and AI tokens (units of AI model invocation and agent activity) can be issued, invoked, governed, and settled on a continuous, 24/7 basis. Please see our most recent annual report on Form 20-F for more information regarding our product offerings.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shd w:fill="FFFFFF" w:val="clear"/>
        </w:rPr>
      </w:pPr>
      <w:r>
        <w:rPr>
          <w:rFonts w:ascii="Times New Roman;Times;Serif" w:hAnsi="Times New Roman;Times;Serif"/>
          <w:b/>
          <w:i w:val="false"/>
          <w:caps w:val="false"/>
          <w:smallCaps w:val="false"/>
          <w:sz w:val="20"/>
          <w:bdr w:val="single" w:sz="12" w:space="1" w:color="000000"/>
          <w:shd w:fill="FFFFFF" w:val="clear"/>
        </w:rPr>
        <w:t>Transfer of Cash Through Our Organization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As of the date of this prospectus supplement, neither the Company nor any of its subsidiaries has paid any dividends or made any distributions to their respective shareholder(s), including any U.S. investors.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During the years ended March 31, 2026, 2025 and 2024, and the subsequent period up to the date of this prospectus supplement, the transfer of cash between the Company and its Hong Kong subsidiaries, which includes Solomon JFZ, Solomon Wealth, AlloyX (Hong Kong) Limited, AX Coin HK Limited and AlloyX Ventures Limited (collectively, the “HK Subsidiaries”), totaled approximately $9,083,000. This amount mainly represented the repayment of $774,000 by the Company to Solomon JFZ for certain IPO related expenses advanced by Solomon JFZ, as well as advances made by the Company to Solomon JFZ, Solomon Wealth, and AlloyX (Hong Kong) Limited to support their operations. There has been no transfer of other types of assets between the Company and the HK Subsidiaries. The HK Subsidiaries, which conduct our substantive operations, maintain the cash. Currently, other than complying with the applicable Hong Kong laws and regulations, we do not have our own cash management policy or procedures that dictate how funds are transferred.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Neither the Company nor any of its subsidiaries currently has any plans to distribute earnings or declare cash dividends in the foreseeable future. We intend to keep any future earnings to finance the expansion of our business, and we do not anticipate that any cash dividends will be paid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 If we determine to pay dividends on any of our Class A Ordinary Shares in the future, as a holding company, the Company will be dependent on receipt of funds from its subsidiaries by way of dividend payments.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The Companies Act (As Revised) of the Cayman Islands permits, subject to a solvency test and the provisions, if any, of the Company’s second amended and restated memorandum and articles of association, as amended, the payment of dividends and distributions out of the share premium account. With the exception of the foregoing, there are no statutory provisions relating to the payment of dividends. Based upon English case law, which is regarded as persuasive in the Cayman Islands, dividends may be paid only out of profits. In addition, the Company is permitted under the laws of Cayman Islands to provide funding to its subsidiaries through loans or capital contributions without restrictions on the amount of the funds.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Each of our HK Subsidiaries is permitted under the laws of Hong Kong to provide funding to the Company through dividends distributions. Under Hong Kong law,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us. In addition, there are no restrictions on foreign exchange and there are no limitations on the abilities of the Company to transfer cash to or from its HK Subsidiaries or to investors under Hong Kong law. There are no restrictions or limitation under the laws of Hong Kong imposed on the conversion of Hong Kong dollars into foreign currencies and the remittance of currencies out of Hong Kong, nor is there any restriction on foreign exchange to transfer cash between the Company and its HK Subsidiaries across borders and to U.S. investors. Nor are there any restrictions and limitations on distributing earnings from our HK Subsidiaries to the Company or U.S. investors, or paying amounts owed.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The table below presents the cash flows from the Company to its subsidiaries for the fiscal years ended March 31, 2026, 2025 and 2024, and the subsequent period up to the date of this prospectus supplement.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9969" w:type="dxa"/>
        <w:jc w:val="left"/>
        <w:tblInd w:w="0" w:type="dxa"/>
        <w:tblLayout w:type="fixed"/>
        <w:tblCellMar>
          <w:top w:w="0" w:type="dxa"/>
          <w:left w:w="0" w:type="dxa"/>
          <w:bottom w:w="0" w:type="dxa"/>
          <w:right w:w="0" w:type="dxa"/>
        </w:tblCellMar>
      </w:tblPr>
      <w:tblGrid>
        <w:gridCol w:w="4955"/>
        <w:gridCol w:w="60"/>
        <w:gridCol w:w="140"/>
        <w:gridCol w:w="980"/>
        <w:gridCol w:w="60"/>
        <w:gridCol w:w="60"/>
        <w:gridCol w:w="140"/>
        <w:gridCol w:w="800"/>
        <w:gridCol w:w="60"/>
        <w:gridCol w:w="60"/>
        <w:gridCol w:w="140"/>
        <w:gridCol w:w="800"/>
        <w:gridCol w:w="60"/>
        <w:gridCol w:w="60"/>
        <w:gridCol w:w="226"/>
        <w:gridCol w:w="1293"/>
        <w:gridCol w:w="7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9" w:type="dxa"/>
            <w:gridSpan w:val="2"/>
            <w:tcBorders/>
            <w:vAlign w:val="center"/>
          </w:tcPr>
          <w:p>
            <w:pPr>
              <w:pStyle w:val="TableContents"/>
              <w:bidi w:val="0"/>
              <w:spacing w:before="0" w:after="283"/>
              <w:jc w:val="center"/>
              <w:rPr>
                <w:b/>
              </w:rPr>
            </w:pPr>
            <w:r>
              <w:rPr>
                <w:b/>
              </w:rPr>
              <w:t>Interim Period</w:t>
              <w:br/>
              <w:t>(April 1,</w:t>
            </w:r>
          </w:p>
        </w:tc>
        <w:tc>
          <w:tcPr>
            <w:tcW w:w="75" w:type="dxa"/>
            <w:tcBorders/>
            <w:vAlign w:val="center"/>
          </w:tcPr>
          <w:p>
            <w:pPr>
              <w:pStyle w:val="TableContents"/>
              <w:bidi w:val="0"/>
              <w:spacing w:before="0" w:after="283"/>
              <w:jc w:val="left"/>
              <w:rPr/>
            </w:pPr>
            <w:r>
              <w:rPr/>
              <w:t> </w:t>
            </w:r>
          </w:p>
        </w:tc>
      </w:tr>
      <w:tr>
        <w:trPr/>
        <w:tc>
          <w:tcPr>
            <w:tcW w:w="4955" w:type="dxa"/>
            <w:tcBorders>
              <w:bottom w:val="single" w:sz="12" w:space="0" w:color="000000"/>
            </w:tcBorders>
            <w:tcMar>
              <w:bottom w:w="28" w:type="dxa"/>
            </w:tcMar>
            <w:vAlign w:val="center"/>
          </w:tcPr>
          <w:p>
            <w:pPr>
              <w:pStyle w:val="TableContents"/>
              <w:bidi w:val="0"/>
              <w:spacing w:before="0" w:after="283"/>
              <w:jc w:val="left"/>
              <w:rPr>
                <w:b/>
              </w:rPr>
            </w:pPr>
            <w:r>
              <w:rPr>
                <w:b/>
              </w:rPr>
              <w:t>Cash Flows Between Company and Subsidiaries</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2026-Present)</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Solomon JFZ (Asia) Holdings Limited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774,000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293" w:type="dxa"/>
            <w:tcBorders/>
            <w:shd w:fill="CCEEFF" w:val="clear"/>
            <w:vAlign w:val="center"/>
          </w:tcPr>
          <w:p>
            <w:pPr>
              <w:pStyle w:val="TableContents"/>
              <w:bidi w:val="0"/>
              <w:spacing w:before="0" w:after="283"/>
              <w:jc w:val="right"/>
              <w:rPr/>
            </w:pPr>
            <w:r>
              <w:rPr/>
              <w:t>660,000</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Solomon Private Wealth Limited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1,307,000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pPr>
            <w:r>
              <w:rPr/>
              <w:t>470,000</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AlloyX (Hong Kong) Limited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pPr>
            <w:r>
              <w:rPr/>
              <w:t>231,000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There are currently no such restrictions on foreign exchange or our ability to transfer cash or assets between the Company and the HK Subsidiaries. However, if certain laws and regulations in the People’s Republic of China (the “PRC”), including existing laws and regulations and those enacted or promulgated in the future were to become applicable to the HK Subsidiaries, and to the extent our cash or assets are in Hong Kong or a Hong Kong entity, such funds or assets may not be available to fund operations or for other use outside of Hong Kong due to interventions in or the imposition of restrictions and limitations on our HK Subsidiaries’ ability to transfer funds or assets by the PRC government. Furthermore, we cannot assure you that the PRC government will not intervene or impose restrictions on the Company or the HK Subsidiaries in their transferring or distributing cash within the organization, which could result in an inability of or prohibition on making transfers or distributions to entities outside of Hong Kong. Any limitation on the ability of the HK Subsidiaries to pay dividends or make other distributions to the Company could materially and adversely limit our ability to grow, make investments or acquisitions that could be beneficial to our business, pay dividends to U.S. investors, or otherwise fund and conduct our business. In addition, if any HK Subsidiary incurs debt on its own behalf in the future, the instruments governing such debt may restrict its ability to pay dividends</w:t>
      </w:r>
      <w:r>
        <w:rPr>
          <w:rFonts w:ascii="Times New Roman;Times;Serif" w:hAnsi="Times New Roman;Times;Serif"/>
          <w:b w:val="false"/>
          <w:i/>
          <w:caps w:val="false"/>
          <w:smallCaps w:val="false"/>
          <w:sz w:val="20"/>
          <w:bdr w:val="single" w:sz="12" w:space="1" w:color="000000"/>
          <w:shd w:fill="FFFFFF" w:val="clear"/>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shd w:fill="FFFFFF" w:val="clear"/>
        </w:rPr>
      </w:pPr>
      <w:r>
        <w:rPr>
          <w:rFonts w:ascii="Times New Roman;Times;Serif" w:hAnsi="Times New Roman;Times;Serif"/>
          <w:b/>
          <w:i w:val="false"/>
          <w:caps w:val="false"/>
          <w:smallCaps w:val="false"/>
          <w:sz w:val="20"/>
          <w:bdr w:val="single" w:sz="12" w:space="1" w:color="000000"/>
          <w:shd w:fill="FFFFFF" w:val="clear"/>
        </w:rPr>
        <w:t>Regulatory Permissions for Our Business Operations and Securities Offerings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As of the date of this prospectus supplement, Solomon JFZ, our wholly owned Hong Kong subsidiary, holds a full stack of Hong Kong Securities and Futures Commission licenses, including Type 1 license (dealing in securities), Type 4 license (Advising on securities), Type 6 license (advising on corporate finance) and Type 9 license (Asset management).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Following the acquisition of AlloyX Group in September 2025, the Company has expanded its global regulatory footprint beyond Hong Kong, obtaining a suite of valid payment, money services and stablecoin-related registrations and licenses across Singapore, the United States, Canada and Bahrain through its overseas subsidiaries. These overseas qualifications cover core businesses including currency exchange, cross-border remittance and fund transmission, virtual asset services and regulated stablecoin issuance, fully supporting the Company’s global stablecoin payment, cross-border settlement and digital asset infrastructure operations. All overseas subsidiaries hold effective and in-force regulatory qualifications with no denial or revocation records, and strictly comply with local regulatory ongoing supervision, compliance reporting and risk control requirements.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We do not believe our operations in Hong Kong and future offerings in the United States are subject to the review or prior approval of the Cyberspace Administration of China (the “CAC”) or the China Securities Regulatory Commission (the “CSRC”). Specially, we do not currently expect the revised Cybersecurity Review Measures (the “revised CRM”), published by the CAC on December 28, 2021, to have an impact on our business, operations or future offerings as we do not believe that any of our HK Subsidiaries is deemed to be an “operator of critical information infrastructure” or a “data processor” controlling personal information of no less than one million users, that are required to file for cybersecurity review, because: (i) each of our HK Subsidiaries is incorporated and operating in Hong Kong and the revised CRM remains unclear whether it shall be applied to a Hong Kong company; (ii) each of our HK Subsidiaries operates without any subsidiary or variable interest entity structure in mainland China; (iii) as of date of this prospectus supplement, our HK Subsidiaries collected and stored personal information of approximately 15,000 PRC individual clients, far less than one million users; and (vi) as of the date of this prospectus supplement, none of our HK Subsidiaries has been informed by any PRC governmental authority that it is required to file for a cybersecurity review.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However, there remains significant uncertainty in the interpretation and enforcement of relevant PRC cybersecurity laws and regulations. If any of our HK Subsidiaries is deemed to be an “operator of critical information infrastructure” or a “data processor” controlling personal information of no less than one million users, our HK Subsidiaries’ operation could be subject to the CAC’s cybersecurity review in the future. If any of our HK Subsidiaries (i) does not receive or maintain such permissions or approvals, should the approval is required in the future by the PRC government, (ii) inadvertently concluded that such permissions or approvals are not required, or (iii) applicable laws, regulations, or interpretations change and any of our HK Subsidiaries is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 In addition, if we do not receive or maintain our existing licenses, or we inadvertently conclude that governmental approvals are not required, or applicable laws, regulations, or interpretations change such that we are required to obtain approval in the future and we fail to obtain such approval on a timely basis, we may be subject to governmental investigations, fines, penalties, orders to suspend operations and rectify any non-compliance, or prohibitions from conducting certain business or any financing, which could result in a material adverse change in our operations, significantly limit or completely hinder our ability to offer or continue to offer securities to investors, or cause our securities to significantly decline in value or become worthless.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shd w:fill="FFFFFF" w:val="clear"/>
        </w:rPr>
      </w:pPr>
      <w:r>
        <w:rPr>
          <w:rFonts w:ascii="Times New Roman;Times;Serif" w:hAnsi="Times New Roman;Times;Serif"/>
          <w:b/>
          <w:i w:val="false"/>
          <w:caps w:val="false"/>
          <w:smallCaps w:val="false"/>
          <w:sz w:val="20"/>
          <w:bdr w:val="single" w:sz="12" w:space="1" w:color="000000"/>
          <w:shd w:fill="FFFFFF" w:val="clear"/>
        </w:rPr>
        <w:t>Holding Foreign Company Accountable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more stringent standards have been imposed by the SEC and the Public Company Accounting Oversight Board (the “PCAOB”) recently, the Company’s securities may be prohibited from trading if our auditor cannot be fully inspected by the PCAOB. Pursuant to the Holding Foreign Companies Accountable Act (the “HFCA Act”) enacted in 2020, if the auditor of a U.S. listed company’s financial statements is not subject to the PCAOB inspections for three consecutive “non-inspection” years, the SEC is required to prohibit the securities of such issuer from being traded on a U.S. national securities exchange, such as The New York Stock Exchange and Nasdaq, or in U.S. over-the-counter markets. On December 29, 2022, the Consolidated Appropriations Act, 2023 was enacted, which contained an identical provision to the HFCA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HFCA Act, on December 16, 2021, the PCAOB issued its determination that the PCAOB was unable to inspect or investigate completely PCAOB-registered public accounting firms headquartered in Mainland China or in Hong Kong, because of positions taken by authorities in the jurisdictions, and the PCAOB included in the report of its determination a list of the accounting firms that were headquartered in Mainland China or Hong Kong. This list did not include our former auditor, WWC, P.C., which served as the Company’s auditor from 2022 until November 2025, as WWC, P.C. had been based in the U.S. and registered with the PCAOB and subject to the PCAOB inspection. On August 26, 2022, the CSRC, the Ministry of Finance of the PRC, and the PCAOB signed a Statement of Protocol (the “Protocol”) governing inspections and investigations of accounting firms based in Mainland China and Hong Kong, taking the first step toward opening access for the PCAOB to inspect and investigate registered public accounting firms headquartered in Mainland China and Hong Kong. On December 15, 2022, the PCAOB made a statement announcing that it was able, in 2022, to inspect and investigate completely issuer audit engagements of PCAOB-registered public accounting firms headquartered in Mainland China and Hong Kong and as a result, PCAOB vacated its previous 2021 determination. Our current auditor, AOGB CPA Limited, an independent public accounting firm registered with the PCAOB and appointed by the Company on November 11, 2025, is headquartered in Hong Kong. Uncertainties still exist as to whether the PCAOB will have continued access for complete inspections and investigations in the future. The PCAOB has indicated that it will act immediately to consider the need to issue new determinations if needed. While our current auditor is subject to the PCAOB inspection, in the event the PCAOB later determines that it is unable to inspect or investigate it completely, then such lack of inspection could cause our securities to be delisted from Nasdaq.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shd w:fill="FFFFFF" w:val="clear"/>
        </w:rPr>
      </w:pPr>
      <w:r>
        <w:rPr>
          <w:rFonts w:ascii="Times New Roman;Times;Serif" w:hAnsi="Times New Roman;Times;Serif"/>
          <w:b/>
          <w:i w:val="false"/>
          <w:caps w:val="false"/>
          <w:smallCaps w:val="false"/>
          <w:sz w:val="20"/>
          <w:bdr w:val="single" w:sz="12" w:space="1" w:color="000000"/>
          <w:shd w:fill="FFFFFF" w:val="clear"/>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Room 1910-1912A, Tower 3, China Hong Kong City, 33 Canton Road, Tsim Sha Tsui, Kowloon, Hong Kong.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registered office is currently located at the office of Conyers Trust Company (Cayman) Limited at Cricket Square, Hutchins Drive, PO Box 2681, Grand Cayman KY1-1111, Cayman Islands which may be changed from time to time at the discretion of directors.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website can be found at www.alloyx.com. The information contained on our website is not a part of this prospectus supplement, nor is such content incorporated by reference herein, and should not be relied upon in determining whether to make an investment in our securities</w:t>
      </w:r>
      <w:r>
        <w:rPr>
          <w:rFonts w:ascii="Times New Roman;Times;Serif" w:hAnsi="Times New Roman;Times;Serif"/>
          <w:b w:val="false"/>
          <w:i w:val="false"/>
          <w:caps w:val="false"/>
          <w:smallCaps w:val="false"/>
          <w:sz w:val="20"/>
          <w:bdr w:val="single" w:sz="12" w:space="1" w:color="000000"/>
          <w:shd w:fill="FFFFFF" w:val="clear"/>
        </w:rPr>
        <w:t>.</w:t>
      </w:r>
    </w:p>
    <w:p>
      <w:pPr>
        <w:pStyle w:val="TextBody"/>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720" w:right="0" w:hanging="0"/>
        <w:jc w:val="both"/>
        <w:rPr>
          <w:smallCaps/>
          <w:bdr w:val="single" w:sz="12" w:space="1" w:color="000000"/>
        </w:rPr>
      </w:pPr>
      <w:r>
        <w:rPr>
          <w:smallCaps/>
          <w:bdr w:val="single" w:sz="12" w:space="1" w:color="000000"/>
        </w:rPr>
        <w:t> </w:t>
      </w:r>
    </w:p>
    <w:p>
      <w:pPr>
        <w:pStyle w:val="TextBody"/>
        <w:bidi w:val="0"/>
        <w:spacing w:before="0" w:after="0"/>
        <w:ind w:left="0" w:right="0" w:hanging="0"/>
        <w:jc w:val="center"/>
        <w:rPr>
          <w:rFonts w:ascii="Times New Roman;Times;Serif" w:hAnsi="Times New Roman;Times;Serif"/>
          <w:b/>
          <w:i w:val="false"/>
          <w:smallCaps/>
          <w:sz w:val="20"/>
          <w:bdr w:val="single" w:sz="12" w:space="1" w:color="000000"/>
        </w:rPr>
      </w:pPr>
      <w:r>
        <w:rPr>
          <w:rFonts w:ascii="Times New Roman;Times;Serif" w:hAnsi="Times New Roman;Times;Serif"/>
          <w:b/>
          <w:i w:val="false"/>
          <w:smallCaps/>
          <w:sz w:val="20"/>
          <w:bdr w:val="single" w:sz="12" w:space="1" w:color="000000"/>
        </w:rPr>
        <w:t>The Offering</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065"/>
        <w:gridCol w:w="90"/>
        <w:gridCol w:w="8050"/>
      </w:tblGrid>
      <w:tr>
        <w:trPr/>
        <w:tc>
          <w:tcPr>
            <w:tcW w:w="2065" w:type="dxa"/>
            <w:tcBorders/>
            <w:vAlign w:val="center"/>
          </w:tcPr>
          <w:p>
            <w:pPr>
              <w:pStyle w:val="TableContents"/>
              <w:bidi w:val="0"/>
              <w:spacing w:before="0" w:after="283"/>
              <w:jc w:val="left"/>
              <w:rPr/>
            </w:pPr>
            <w:r>
              <w:rPr/>
              <w:t>Class A Ordinary Shares Offered by Us:</w:t>
            </w:r>
          </w:p>
        </w:tc>
        <w:tc>
          <w:tcPr>
            <w:tcW w:w="90" w:type="dxa"/>
            <w:tcBorders/>
            <w:vAlign w:val="center"/>
          </w:tcPr>
          <w:p>
            <w:pPr>
              <w:pStyle w:val="TableContents"/>
              <w:bidi w:val="0"/>
              <w:spacing w:before="0" w:after="283"/>
              <w:jc w:val="left"/>
              <w:rPr/>
            </w:pPr>
            <w:r>
              <w:rPr/>
              <w:t> </w:t>
            </w:r>
          </w:p>
        </w:tc>
        <w:tc>
          <w:tcPr>
            <w:tcW w:w="8050" w:type="dxa"/>
            <w:tcBorders/>
            <w:vAlign w:val="center"/>
          </w:tcPr>
          <w:p>
            <w:pPr>
              <w:pStyle w:val="TableContents"/>
              <w:bidi w:val="0"/>
              <w:spacing w:before="0" w:after="283"/>
              <w:jc w:val="both"/>
              <w:rPr>
                <w:sz w:val="20"/>
              </w:rPr>
            </w:pPr>
            <w:r>
              <w:rPr>
                <w:sz w:val="20"/>
              </w:rPr>
              <w:t>We are offering Class A Ordinary Shares having an aggregate offering price of up to $2,160,000 and 5,250,000 Class A Ordinary Shares. The amount and timing of sales of the Class A Ordinary Shares offered hereby is at the sole discretion of the Investor.</w:t>
            </w:r>
          </w:p>
        </w:tc>
      </w:tr>
      <w:tr>
        <w:trPr/>
        <w:tc>
          <w:tcPr>
            <w:tcW w:w="2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50" w:type="dxa"/>
            <w:tcBorders/>
            <w:vAlign w:val="center"/>
          </w:tcPr>
          <w:p>
            <w:pPr>
              <w:pStyle w:val="TableContents"/>
              <w:bidi w:val="0"/>
              <w:spacing w:before="0" w:after="283"/>
              <w:jc w:val="both"/>
              <w:rPr/>
            </w:pPr>
            <w:r>
              <w:rPr/>
              <w:t> </w:t>
            </w:r>
          </w:p>
        </w:tc>
      </w:tr>
      <w:tr>
        <w:trPr/>
        <w:tc>
          <w:tcPr>
            <w:tcW w:w="2065" w:type="dxa"/>
            <w:tcBorders/>
            <w:vAlign w:val="center"/>
          </w:tcPr>
          <w:p>
            <w:pPr>
              <w:pStyle w:val="TableContents"/>
              <w:bidi w:val="0"/>
              <w:spacing w:before="0" w:after="283"/>
              <w:jc w:val="left"/>
              <w:rPr>
                <w:sz w:val="20"/>
              </w:rPr>
            </w:pPr>
            <w:r>
              <w:rPr>
                <w:sz w:val="20"/>
              </w:rPr>
              <w:t>Ordinary Shares Outstanding Immediately Before the Offering:</w:t>
            </w:r>
            <w:r>
              <w:rPr>
                <w:position w:val="7"/>
                <w:sz w:val="16"/>
                <w:sz w:val="20"/>
              </w:rPr>
              <w:t>(1)</w:t>
            </w:r>
          </w:p>
        </w:tc>
        <w:tc>
          <w:tcPr>
            <w:tcW w:w="90" w:type="dxa"/>
            <w:tcBorders/>
            <w:vAlign w:val="center"/>
          </w:tcPr>
          <w:p>
            <w:pPr>
              <w:pStyle w:val="TableContents"/>
              <w:bidi w:val="0"/>
              <w:spacing w:before="0" w:after="283"/>
              <w:jc w:val="both"/>
              <w:rPr/>
            </w:pPr>
            <w:r>
              <w:rPr/>
              <w:t> </w:t>
            </w:r>
          </w:p>
        </w:tc>
        <w:tc>
          <w:tcPr>
            <w:tcW w:w="8050" w:type="dxa"/>
            <w:tcBorders/>
            <w:vAlign w:val="center"/>
          </w:tcPr>
          <w:p>
            <w:pPr>
              <w:pStyle w:val="TableContents"/>
              <w:bidi w:val="0"/>
              <w:spacing w:before="0" w:after="283"/>
              <w:jc w:val="both"/>
              <w:rPr>
                <w:sz w:val="20"/>
              </w:rPr>
            </w:pPr>
            <w:r>
              <w:rPr>
                <w:sz w:val="20"/>
              </w:rPr>
              <w:t xml:space="preserve">163,030,788 Class A Ordinary Shares and 31,371,599 Class B Ordinary Shares. </w:t>
            </w:r>
          </w:p>
        </w:tc>
      </w:tr>
      <w:tr>
        <w:trPr/>
        <w:tc>
          <w:tcPr>
            <w:tcW w:w="2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050" w:type="dxa"/>
            <w:tcBorders/>
            <w:vAlign w:val="center"/>
          </w:tcPr>
          <w:p>
            <w:pPr>
              <w:pStyle w:val="TableContents"/>
              <w:bidi w:val="0"/>
              <w:spacing w:before="0" w:after="283"/>
              <w:jc w:val="both"/>
              <w:rPr/>
            </w:pPr>
            <w:r>
              <w:rPr/>
              <w:t> </w:t>
            </w:r>
          </w:p>
        </w:tc>
      </w:tr>
      <w:tr>
        <w:trPr/>
        <w:tc>
          <w:tcPr>
            <w:tcW w:w="2065" w:type="dxa"/>
            <w:tcBorders/>
            <w:vAlign w:val="center"/>
          </w:tcPr>
          <w:p>
            <w:pPr>
              <w:pStyle w:val="TableContents"/>
              <w:bidi w:val="0"/>
              <w:spacing w:before="0" w:after="283"/>
              <w:jc w:val="left"/>
              <w:rPr>
                <w:sz w:val="20"/>
              </w:rPr>
            </w:pPr>
            <w:r>
              <w:rPr>
                <w:sz w:val="20"/>
              </w:rPr>
              <w:t>Ordinary Shares to be Outstanding Immediately After the Offering:</w:t>
            </w:r>
            <w:r>
              <w:rPr>
                <w:position w:val="7"/>
                <w:sz w:val="16"/>
                <w:sz w:val="20"/>
              </w:rPr>
              <w:t>(1)</w:t>
            </w:r>
          </w:p>
        </w:tc>
        <w:tc>
          <w:tcPr>
            <w:tcW w:w="90" w:type="dxa"/>
            <w:tcBorders/>
            <w:vAlign w:val="center"/>
          </w:tcPr>
          <w:p>
            <w:pPr>
              <w:pStyle w:val="TableContents"/>
              <w:bidi w:val="0"/>
              <w:spacing w:before="0" w:after="283"/>
              <w:jc w:val="both"/>
              <w:rPr/>
            </w:pPr>
            <w:r>
              <w:rPr/>
              <w:t> </w:t>
            </w:r>
          </w:p>
        </w:tc>
        <w:tc>
          <w:tcPr>
            <w:tcW w:w="8050" w:type="dxa"/>
            <w:tcBorders/>
            <w:vAlign w:val="center"/>
          </w:tcPr>
          <w:p>
            <w:pPr>
              <w:pStyle w:val="TableContents"/>
              <w:bidi w:val="0"/>
              <w:spacing w:before="0" w:after="283"/>
              <w:jc w:val="both"/>
              <w:rPr>
                <w:sz w:val="20"/>
              </w:rPr>
            </w:pPr>
            <w:r>
              <w:rPr>
                <w:sz w:val="20"/>
              </w:rPr>
              <w:t>169,639,279 Class A Ordinary Shares and 31,371,599 Class B Ordinary Shares, assuming the sale of 1,358,491 Class A Ordinary Shares under Pre-Paid Purchase #3 at an offering price of $1.59 per share, which was 85% of the last reported sale price of the Class A Ordinary Shares on Nasdaq on September 18, 2026.  </w:t>
            </w:r>
          </w:p>
        </w:tc>
      </w:tr>
      <w:tr>
        <w:trPr/>
        <w:tc>
          <w:tcPr>
            <w:tcW w:w="2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050" w:type="dxa"/>
            <w:tcBorders/>
            <w:vAlign w:val="center"/>
          </w:tcPr>
          <w:p>
            <w:pPr>
              <w:pStyle w:val="TableContents"/>
              <w:bidi w:val="0"/>
              <w:spacing w:before="0" w:after="283"/>
              <w:jc w:val="both"/>
              <w:rPr/>
            </w:pPr>
            <w:r>
              <w:rPr/>
              <w:t> </w:t>
            </w:r>
          </w:p>
        </w:tc>
      </w:tr>
      <w:tr>
        <w:trPr/>
        <w:tc>
          <w:tcPr>
            <w:tcW w:w="2065" w:type="dxa"/>
            <w:tcBorders/>
            <w:vAlign w:val="center"/>
          </w:tcPr>
          <w:p>
            <w:pPr>
              <w:pStyle w:val="TableContents"/>
              <w:bidi w:val="0"/>
              <w:spacing w:before="0" w:after="283"/>
              <w:jc w:val="left"/>
              <w:rPr>
                <w:sz w:val="20"/>
              </w:rPr>
            </w:pPr>
            <w:r>
              <w:rPr>
                <w:sz w:val="20"/>
              </w:rPr>
              <w:t>Use of Proceeds:</w:t>
            </w:r>
          </w:p>
        </w:tc>
        <w:tc>
          <w:tcPr>
            <w:tcW w:w="90" w:type="dxa"/>
            <w:tcBorders/>
            <w:vAlign w:val="center"/>
          </w:tcPr>
          <w:p>
            <w:pPr>
              <w:pStyle w:val="TableContents"/>
              <w:bidi w:val="0"/>
              <w:spacing w:before="0" w:after="283"/>
              <w:jc w:val="both"/>
              <w:rPr/>
            </w:pPr>
            <w:r>
              <w:rPr/>
              <w:t> </w:t>
            </w:r>
          </w:p>
        </w:tc>
        <w:tc>
          <w:tcPr>
            <w:tcW w:w="8050" w:type="dxa"/>
            <w:tcBorders/>
            <w:vAlign w:val="center"/>
          </w:tcPr>
          <w:p>
            <w:pPr>
              <w:pStyle w:val="TableContents"/>
              <w:bidi w:val="0"/>
              <w:spacing w:before="0" w:after="283"/>
              <w:jc w:val="both"/>
              <w:rPr>
                <w:sz w:val="20"/>
              </w:rPr>
            </w:pPr>
            <w:r>
              <w:rPr>
                <w:sz w:val="20"/>
              </w:rPr>
              <w:t>We intend to use the net proceeds from this offering for working capital and other general corporate purposes. See “</w:t>
            </w:r>
            <w:r>
              <w:rPr>
                <w:i/>
                <w:sz w:val="20"/>
              </w:rPr>
              <w:t>Use of Proceeds</w:t>
            </w:r>
            <w:r>
              <w:rPr>
                <w:sz w:val="20"/>
              </w:rPr>
              <w:t xml:space="preserve">.” </w:t>
            </w:r>
          </w:p>
        </w:tc>
      </w:tr>
      <w:tr>
        <w:trPr/>
        <w:tc>
          <w:tcPr>
            <w:tcW w:w="2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050" w:type="dxa"/>
            <w:tcBorders/>
            <w:vAlign w:val="center"/>
          </w:tcPr>
          <w:p>
            <w:pPr>
              <w:pStyle w:val="TableContents"/>
              <w:bidi w:val="0"/>
              <w:spacing w:before="0" w:after="283"/>
              <w:jc w:val="both"/>
              <w:rPr/>
            </w:pPr>
            <w:r>
              <w:rPr/>
              <w:t> </w:t>
            </w:r>
          </w:p>
        </w:tc>
      </w:tr>
      <w:tr>
        <w:trPr/>
        <w:tc>
          <w:tcPr>
            <w:tcW w:w="2065" w:type="dxa"/>
            <w:tcBorders/>
            <w:vAlign w:val="center"/>
          </w:tcPr>
          <w:p>
            <w:pPr>
              <w:pStyle w:val="TableContents"/>
              <w:bidi w:val="0"/>
              <w:spacing w:before="0" w:after="283"/>
              <w:jc w:val="left"/>
              <w:rPr>
                <w:sz w:val="20"/>
              </w:rPr>
            </w:pPr>
            <w:r>
              <w:rPr>
                <w:sz w:val="20"/>
              </w:rPr>
              <w:t>Risk Factors:</w:t>
            </w:r>
          </w:p>
        </w:tc>
        <w:tc>
          <w:tcPr>
            <w:tcW w:w="90" w:type="dxa"/>
            <w:tcBorders/>
            <w:vAlign w:val="center"/>
          </w:tcPr>
          <w:p>
            <w:pPr>
              <w:pStyle w:val="TableContents"/>
              <w:bidi w:val="0"/>
              <w:spacing w:before="0" w:after="283"/>
              <w:jc w:val="both"/>
              <w:rPr/>
            </w:pPr>
            <w:r>
              <w:rPr/>
              <w:t> </w:t>
            </w:r>
          </w:p>
        </w:tc>
        <w:tc>
          <w:tcPr>
            <w:tcW w:w="8050" w:type="dxa"/>
            <w:tcBorders/>
            <w:vAlign w:val="center"/>
          </w:tcPr>
          <w:p>
            <w:pPr>
              <w:pStyle w:val="TableContents"/>
              <w:bidi w:val="0"/>
              <w:spacing w:before="0" w:after="283"/>
              <w:jc w:val="both"/>
              <w:rPr>
                <w:sz w:val="20"/>
              </w:rPr>
            </w:pPr>
            <w:r>
              <w:rPr>
                <w:sz w:val="20"/>
              </w:rPr>
              <w:t>Investing in our securities involves a high degree of risk. For a discussion of factors you should consider carefully before deciding to invest in our securities, see “</w:t>
            </w:r>
            <w:r>
              <w:rPr>
                <w:i/>
                <w:sz w:val="20"/>
              </w:rPr>
              <w:t>Risk Factors</w:t>
            </w:r>
            <w:r>
              <w:rPr>
                <w:sz w:val="20"/>
              </w:rPr>
              <w:t>” beginning on page S-5 of this prospectus supplement and on page 12 of the accompanying prospectus and other information included or incorporated by reference in this prospectus supplement and the accompanying prospectus.</w:t>
            </w:r>
          </w:p>
        </w:tc>
      </w:tr>
      <w:tr>
        <w:trPr/>
        <w:tc>
          <w:tcPr>
            <w:tcW w:w="2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050" w:type="dxa"/>
            <w:tcBorders/>
            <w:vAlign w:val="center"/>
          </w:tcPr>
          <w:p>
            <w:pPr>
              <w:pStyle w:val="TableContents"/>
              <w:bidi w:val="0"/>
              <w:spacing w:before="0" w:after="283"/>
              <w:jc w:val="both"/>
              <w:rPr/>
            </w:pPr>
            <w:r>
              <w:rPr/>
              <w:t> </w:t>
            </w:r>
          </w:p>
        </w:tc>
      </w:tr>
      <w:tr>
        <w:trPr/>
        <w:tc>
          <w:tcPr>
            <w:tcW w:w="2065" w:type="dxa"/>
            <w:tcBorders/>
            <w:vAlign w:val="center"/>
          </w:tcPr>
          <w:p>
            <w:pPr>
              <w:pStyle w:val="TableContents"/>
              <w:bidi w:val="0"/>
              <w:spacing w:before="0" w:after="283"/>
              <w:jc w:val="left"/>
              <w:rPr>
                <w:sz w:val="20"/>
              </w:rPr>
            </w:pPr>
            <w:r>
              <w:rPr>
                <w:sz w:val="20"/>
              </w:rPr>
              <w:t>Trading Market and Symbol:</w:t>
            </w:r>
          </w:p>
        </w:tc>
        <w:tc>
          <w:tcPr>
            <w:tcW w:w="90" w:type="dxa"/>
            <w:tcBorders/>
            <w:vAlign w:val="center"/>
          </w:tcPr>
          <w:p>
            <w:pPr>
              <w:pStyle w:val="TableContents"/>
              <w:bidi w:val="0"/>
              <w:spacing w:before="0" w:after="283"/>
              <w:jc w:val="both"/>
              <w:rPr/>
            </w:pPr>
            <w:r>
              <w:rPr/>
              <w:t> </w:t>
            </w:r>
          </w:p>
        </w:tc>
        <w:tc>
          <w:tcPr>
            <w:tcW w:w="8050" w:type="dxa"/>
            <w:tcBorders/>
            <w:vAlign w:val="center"/>
          </w:tcPr>
          <w:p>
            <w:pPr>
              <w:pStyle w:val="TableContents"/>
              <w:bidi w:val="0"/>
              <w:spacing w:before="0" w:after="283"/>
              <w:jc w:val="both"/>
              <w:rPr>
                <w:sz w:val="20"/>
              </w:rPr>
            </w:pPr>
            <w:r>
              <w:rPr>
                <w:sz w:val="20"/>
              </w:rPr>
              <w:t xml:space="preserve">Our Class A Ordinary Shares are listed on Nasdaq under the symbol “AXG.” </w:t>
            </w:r>
          </w:p>
        </w:tc>
      </w:tr>
      <w:tr>
        <w:trPr/>
        <w:tc>
          <w:tcPr>
            <w:tcW w:w="20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8050" w:type="dxa"/>
            <w:tcBorders/>
            <w:vAlign w:val="center"/>
          </w:tcPr>
          <w:p>
            <w:pPr>
              <w:pStyle w:val="TableContents"/>
              <w:bidi w:val="0"/>
              <w:spacing w:before="0" w:after="283"/>
              <w:jc w:val="both"/>
              <w:rPr/>
            </w:pPr>
            <w:r>
              <w:rPr/>
              <w:t> </w:t>
            </w:r>
          </w:p>
        </w:tc>
      </w:tr>
      <w:tr>
        <w:trPr/>
        <w:tc>
          <w:tcPr>
            <w:tcW w:w="2065" w:type="dxa"/>
            <w:tcBorders/>
            <w:vAlign w:val="center"/>
          </w:tcPr>
          <w:p>
            <w:pPr>
              <w:pStyle w:val="TableContents"/>
              <w:bidi w:val="0"/>
              <w:spacing w:before="0" w:after="283"/>
              <w:jc w:val="left"/>
              <w:rPr>
                <w:sz w:val="20"/>
              </w:rPr>
            </w:pPr>
            <w:r>
              <w:rPr>
                <w:sz w:val="20"/>
              </w:rPr>
              <w:t>Transfer Agent and Registrar:</w:t>
            </w:r>
          </w:p>
        </w:tc>
        <w:tc>
          <w:tcPr>
            <w:tcW w:w="90" w:type="dxa"/>
            <w:tcBorders/>
            <w:vAlign w:val="center"/>
          </w:tcPr>
          <w:p>
            <w:pPr>
              <w:pStyle w:val="TableContents"/>
              <w:bidi w:val="0"/>
              <w:spacing w:before="0" w:after="283"/>
              <w:jc w:val="both"/>
              <w:rPr/>
            </w:pPr>
            <w:r>
              <w:rPr/>
              <w:t> </w:t>
            </w:r>
          </w:p>
        </w:tc>
        <w:tc>
          <w:tcPr>
            <w:tcW w:w="8050" w:type="dxa"/>
            <w:tcBorders/>
            <w:vAlign w:val="center"/>
          </w:tcPr>
          <w:p>
            <w:pPr>
              <w:pStyle w:val="TableContents"/>
              <w:bidi w:val="0"/>
              <w:spacing w:before="0" w:after="283"/>
              <w:jc w:val="both"/>
              <w:rPr>
                <w:sz w:val="20"/>
              </w:rPr>
            </w:pPr>
            <w:r>
              <w:rPr>
                <w:sz w:val="20"/>
              </w:rPr>
              <w:t>Transhare Corporation.</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283"/>
              <w:jc w:val="both"/>
              <w:rPr/>
            </w:pPr>
            <w:r>
              <w:rPr/>
              <w:t>The number of our Class A Ordinary Shares outstanding immediately before and after this offering excludes: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41,100 Class A Ordinary Shares reserved under our Amended and Restated 2023 Equity Incentive Plan;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578,900 Class A Ordinary Shares issuable upon the exercise of outstanding options granted under our Amended and Restated 2023 Equity Incentive Plan;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5,000,000 Class A Ordinary Shares issuable upon the exercise of outstanding warrants.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_002"/>
      <w:bookmarkEnd w:id="3"/>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investment in our securities involves a high degree of risk. You should consider carefully the risks described below as well as the risks described in the section captioned “Risk Factors” in our annual report on Form 20-F for the year ended March 31, 2025 and as updated by any document that we subsequently file with the SEC that is incorporated by reference in this prospectus supplement or the accompanying prospectus, together with other information in this prospectus supplement, the accompanying prospectus and the information and documents incorporated by reference in this prospectus supplement and the accompanying prospectus before you make a decision to invest in our securities. If any of such risks actually occur, our business, operating results, prospects or financial condition could be materially and adversely affected. This could cause the trading price of our Class A Ordinary Shares to decline and you may lose all or part of your investment. The risks described below are not the only ones that we face. Additional risks not presently known to us or that we currently deem immaterial may also affect our business operations. The risks discussed below also include forward-looking statements and our actual results may differ substantially from those discussed in these forward-looking statements. See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 substantial number of Class A Ordinary Shares may be sold into the market under the Purchase Agreement, Pre-Paid Purchase #1, Pre-Paid Purchase #2 and Pre-Paid Purchase #3. The price of our Class A Ordinary Shares could decline and be volatile if there are substantial sales of our Class A Ordinary Shares, if there is a large number of our Class A Ordinary Shares available for sale, or if there is the perception that these sales could occur.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consummated Pre-Paid Purchase #1 in an original principal amount of $5,415,000 before deducting an original issue discount of $400,000 and a transaction expense amount of $15,000.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Company consummated Pre-Paid Purchase #2 in an original principal amount of $6,480,000 before deducting an original issue discount of $480,000.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the Investor agreed to advance to us Pre-Paid Purchase #3 in an original principal amount of $2,160,000 before deducting an original issue discount of $160,000.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during any calendar month that we fail to make an amortization payment (i.e., if we do not make the monthly payments of $750,000, $900,000 or $300,000 required under Pre-Paid Purchase #1, Pre-Paid Purchase #2 and Pre-Paid Purchase #3, respectively, by the respective applicable amortization date), the Investor may provide a purchase notice requiring that we issue and sell Class A Ordinary Shares to the Investor, which shall be offset against the amount outstanding under Pre-Paid Purchase #1, Pre-Paid Purchase #2, or Pre-Paid Purchase #3, if applicable. Any issuances of our Class A Ordinary Shares to offset any outstanding Pre-Paid Purchase will dilute the percentage ownership of shareholders and may dilute the per share book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Class A Ordinary Shares in the public market or other issuances of Class A Ordinary Shares, or the perception that these sales or issuances could occur, could cause the market price of our Class A Ordinary Shares to decline and may make it more difficult for you to sell your shares at a time and price that you deem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proceeds from this offering, and there is no guarantee that we will use the proceeds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use the net proceeds from this offering solely for working capital and general corporate purposes. As a result, we retain significant discretion in the application of the net proceeds. You will not have the opportunity, as part of your investment decision, to assess whether the proceeds are being used in a manner that aligns with your preferences. You must rely on our judgment regarding the allocation of the net proceeds. These funds may be used for corporate purposes that do not improve our profitability or increase the value of our shares. Additionally, the net proceeds may be invested in ways that do not generate income or that result in a loss of value. If we fail to use these funds effectively, it could have a material adverse effect on our business, financial condition, operating results,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You will experience immediate dilution in the book value per Class A Ordinary Share you purchase.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in this offering may exceed the net tangible book value per Class A Ordinary Share outstanding prior to this offering. Assuming the issuance of 5,250,000 Pre-Delivery Shares and that an aggregate of 1,358,491 Class A Ordinary Shares are sold pursuant to Pre-Paid Purchase #3 at a price of $1.59 per share, which was 85% of the last reported sale price of the Class A Ordinary Shares on Nasdaq on September 18, 2026, for aggregate net proceeds of $2,000,000, you would experience immediate dilution of approximately $1.45 per share, representing the difference between our as adjusted net tangible book value per share after giving effect to this offering and the assumed offering price. Further dilution of your investment will result from, among other things, the future exercise of share options and warrants. See the section titled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 below for a more detailed illustration of the dilution you could incur if you purchase shares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Class A Ordinary Shares we will issue under the Purchase Agreement, at any one time or in total,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make an amortization payment, the Investor has the right to submit purchase notices requiring us to issue and sell Class A Ordinary Shares. Under Pre-Paid Purchase #1, beginning June 1, 2026, the Investor may require us to issue Class A Ordinary Shares in an aggregate purchase amount not exceeding the higher of (i) $750,000 or (ii) ten percent (10%) of the aggregate dollar trading volume of our Class A Ordinary Shares on all trading markets for the immediately preceding calendar month. Under Pre-Paid Purchase #2, beginning September 1, 2026, the Investor may require us to issue Class A Ordinary Shares in an aggregate purchase amount not exceeding the higher of (i) $900,000 or (ii) ten percent (10%) of the aggregate dollar trading volume of our Class A Ordinary Shares on all trading markets for the immediately preceding calendar month. Under Pre-Paid Purchase #3, beginning January 1, 2027, the Investor may require us to issue Class A Ordinary Shares in an aggregate purchase amount not exceeding the higher of (i) $300,000 or (ii) ten percent (10%) of the aggregate dollar trading volume of our Class A Ordinary Shares on all trading markets for the immediately preceding calendar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ultimately be required to issue to the Investor all, some, or none of the Class A Ordinary Shares that may be issuable pursuant to Pre-Paid Purchase #1, Pre-Paid Purchase #2 and Pre-Paid Purchase #3. Since the purchase price to be paid by the Investor for the Class A Ordinary Shares, if any, will fluctuate based on the market prices of our Class A Ordinary Shares, it is not possible for us to predict, as of the date of this prospectus supplement and prior to any such sales, the number of shares that we will issue to the Investor under Pre-Paid Purchase #1, Pre-Paid Purchase #2 or Pre-Paid Purchase #3, or the purchase price per share that the Investor will pay for such shares,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Investor’s purchase price for our Class A Ordinary Shares is based on a discount to our market price, which could result in significant dilution to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Investor’s purchase price for our Class A Ordinary Shares under the Pre-Paid Purchases is calculated as 85% multiplied by the lower of (i) the closing bid price on the trading day immediately preceding the purchase notice date and (ii) the average of the daily VWAPs (as defined in the Pre-Paid Purchases) during the ten (10) trading day period preceding the purchase notice date. As a result, investors who purchase Class A Ordinary Shares from the Investor at different times will likely pay different prices for those shares, and so may experience different levels of dilution and in some cases substantial dilution and different outcomes in their investment results. In addition, investors may experience a decline in the value of the Class A Ordinary Shares they purchase from the Investor as a result of future sales made by us to the Investor at prices lower than the prices such investors paid for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Upon a Trigger Event, as defined in the Pre-Paid Purchases, the outstanding balance may be increased, and upon an Event of Default, as defined in the Pre-Paid Purchases, we may be required to make payments that could cause financial hardship to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Pre-Paid Purchase #1, Pre-Paid Purchase #2 and Pre-Paid Purchase #3, a “Trigger Event” occurs if, among other things: (1) we fail to pay any principal, interest, fees, charges, or any other amount when due and payable; (2) a receiver, trustee or other similar official is appointed over the Company or a material part of its assets and such appointment remains uncontested for twenty (20) days or is not dismissed within sixty (60) days; (3) we become insolvent or generally fail to pay our debts as they become due; (4) we make a general assignment for the benefit of creditors; (5) we file or are the subject of a petition for relief under any bankruptcy, insolvency or similar law; (6) we fail to observe or perform any covenant set forth in Section 4 of the Purchase Agreement; (7) a fundamental transaction occurs without Investor’s prior written consent; (8) we fail to timely establish and maintain the share reserve; (9) we fail to deliver any purchase shares in accordance with the terms of the Pre-Paid Purchase; (10) any money judgment, writ or similar process is entered against us for more than $500,000 and remains unvacated for twenty (20) calendar days; (11) we fail to be DWAC eligible; (12) we default on any material covenant or agreement in our other material agreements; or (13) any representation or warranty made by us is false, incorrect, incomplete or misleading in any material respect when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following the occurrence of any Trigger Event, the Investor may increase the outstanding balance under the Pre-Paid Purchases by applying the Trigger Effect, which means multiplying the outstanding balance by ten percent (10%) for each occurrence of a Trigger Event (subject to a maximum of three applications). If we fail to cure the Trigger Event within the required ten (10) day cure period following written notice from the Investor, the Trigger Event will automatically become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following the occurrence of an Event of Default (as defined in the Pre-Paid Purchases), the Investor may accelerate the Pre-Paid Purchases, with the outstanding balance becoming immediately due and payable in cash at the mandatory default amount (i.e., the outstanding balance following the application of the Trigger Effect). Upon certain Events of Default (including bankruptcy-related events), the outstanding balance will become immediately and automatically due and payable in cash at the mandatory default amount, without any written notice required. Additionally, interest shall accrue on the outstanding balance at an interest rate equal to the lesser of eighteen percent (18%) per annum or the maximum rate permitted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have sufficient cash on hand to make such repayments when due, we could be required to modify our operating plan to redirect our cash resources to such repayments, which could have a material adverse effect on our financial condition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restricted from issuing certain types of securities without the Investor’s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all of our obligations under the Purchase Agreement are paid and performed in full, we may not make any Restricted Issuance (as defined in the Purchase Agreement) without the Investor’s prior written consent, which consent may be granted or withheld in the Investor’s sole and absolute discretion. A Restricted Issuance includes the issuance of any securities that: (i) have conversion rights where the number of shares that may be issued varies with the market price of our Class A Ordinary Shares; (ii) are convertible into Class A Ordinary Shares with a variable conversion price that varies with the market price of our Class A Ordinary Shares; (iii) have a fixed conversion price that is subject to being reset due to a change in the market price or upon the occurrence of specified or contingent events; or (iv) are issued in connection with a Section 3(a)(9) exchange, Section 3(a)(10) settlement, or any other similar settlement or exchange. This restriction could limit our ability to raise capital through certain types of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required to maintain a share reserve, which could limit our flexibility in issuing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we are required to reserve 6,300,000 Class A Ordinary Shares from our authorized and unissued shares to provide for all issuances of Class A Ordinary Shares under the Purchase Agreement and all Pre-Paid Purchases. We are further required to add additional Class A Ordinary Shares to such share reserve in increments of 100,000 shares as and when requested by the Investor if the number of shares being held in such share reserve is less than three (3) times the number of Class A Ordinary Shares equal to the Pre-Paid Purchase outstanding balance divided by the per share purchase price for Class A Ordinary Shares. Our failure to timely establish and maintain the this share reserve constitutes a Trigger Event under the Pre-Paid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additional obligations if we issue debt securities with terms more favorable than those provided to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Pre-Paid Purchase is outstanding, upon any issuance by us of any debt security (including additional Pre-Paid Purchases) with any term or condition more favorable to the holder of such debt security, or with a term in favor of such holder that was not similarly provided to the Investor in the Purchase Agreement and the outstanding Pre-Paid Purchases, we must notify the Investor of such additional or more favorable term. At the Investor’s option, such term shall become a part of the transaction documents for the benefit of the Investor. Additionally, if we fail to notify the Investor of any such additional or more favorable term, but the Investor becomes aware that we have granted such a term to any third party, the Investor may notify us of such additional or more favorable term, and such term shall become a part of the transaction documents retroactive to the date on which such term was granted to the applicable third party. The types of terms that may trigger this provision include, but are not limited to, terms addressing floor prices, fixed purchase prices, conversion discounts, conversion lookback periods, interest rates, original issue discounts, stock sale prices, warrant coverage, warrant exercise prices, and anti-dilution/conversion and exercise price resets. This “most favored nation” provision could increase our obligations to the Investor if we issue debt securities with terms more favorable than those provided to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s_003"/>
      <w:bookmarkEnd w:id="4"/>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“forward-looking statements” that involve substantial risks and uncertainties. All statements other than statements of historical facts contained in this prospectus supplement, including statements regarding our future results of operations and financial position, strategy and plans, and our expectations for future operations, are forward-looking statements under Section 27A of the Securities Act and Section 21E of the Securities Exchange Act of 1934, as amended (the “Exchange Act”). We have attempted to identify forward-looking statements using terminology such as “anticipates,” “believes,” “can,” “continue,” “could,” “estimates,” “expects,” “intends,” “may,” “plans,” “potential,” “predicts,” “should,” “will,” or the negative of these terms or other comparable terminology. Our actual results may differ materially, or perhaps significantly, from those discussed herein or implied by, these forward-looking statements. Forward-looking statements included or incorporated by reference in this prospectus supplement or our other filings with the SEC include, but are not necessarily limited to, those relating to:</w:t>
      </w:r>
    </w:p>
    <w:p>
      <w:pPr>
        <w:pStyle w:val="TextBody"/>
        <w:bidi w:val="0"/>
        <w:spacing w:before="0" w:after="0"/>
        <w:ind w:left="720" w:right="0" w:hanging="36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170"/>
        <w:gridCol w:w="86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our goals and strategies;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our future business development, financial condition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expected changes in our revenue, costs or expenditure;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our expectations regarding demand for and market acceptance of our products and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competition in our industry;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government policies and regulations relating to our industry;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those factors referred to the “</w:t>
            </w:r>
            <w:r>
              <w:rPr>
                <w:i/>
              </w:rPr>
              <w:t>Risk Factors</w:t>
            </w:r>
            <w:r>
              <w:rPr/>
              <w:t>” section.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with which we are faced that may cause our actual results to differ from those anticipated in our forward-looking statements. Please see the risk factors disclosed in our reports filed or furnished with the SEC or those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supplement and the accompanying prospectus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All forward-looking statements included in this prospectus supplement and the accompanying prospectus are based on information available to us on the date of this prospectus supplement or the accompanying prospectus, as applicable. Except to the extent required by applicable laws or rules, we undertake no obligation to publicly update or revise any forward-looking statement, whether as a result of new information, future events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_004"/>
      <w:bookmarkEnd w:id="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from this offering will be approximately $2.0 million, after deducting the estimated expenses of this offering. We intend to use the net proceeds from this offering for working capital and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use of proceeds will vary depending on a number of factors, including the amount of cash generated or used by our operations, and the rate of growth, if any, of our business. As a result, we will retain broad discretion in the allocation of the net proceeds of this offering. In addition, while we have not entered into any agreements, commitments or understandings relating to any significant transaction as of the date of this prospectus supplement, we may use a portion of the net proceeds to pursue acquisitions, joint ventures and other strategic transactions. Depending on future events and others changes in the business climate, we may determine at a later time to use the net proceeds for different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_005"/>
      <w:bookmarkEnd w:id="6"/>
      <w:r>
        <w:rPr>
          <w:rFonts w:ascii="Times New Roman;Times;Serif" w:hAnsi="Times New Roman;Times;Serif"/>
          <w:b/>
          <w:i w:val="false"/>
          <w:caps w:val="false"/>
          <w:smallCaps w:val="false"/>
          <w:sz w:val="20"/>
        </w:rPr>
        <w:t>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securities in this offering, your ownership will be diluted immediately to the extent of the difference between the public offering price per share and the as adjusted net tangible book value per Class A Ordinary Share immediately after this offering. Dilution in net tangible book value per share represents the difference between the amount per share paid by purchasers of Class A Ordinary Shares in this offering and the as adjusted net tangible book value per Class A Ordinary Share immediately after this offering. Net tangible book value per share is determined at any date by subtracting our total liabilities from the total book value of our tangible assets and dividing the difference by the number of Class A Ordinary Shares deemed to be outstanding at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our net tangible book value was approximately $24.46 million, or approximately $0.16 per Class A Ordinary Share. After giving effect to (i) the closing of Pre-Paid Purchase #2, (ii) the issuance of an aggregate of 2,500,000 Class A Ordinary Shares as pre-delivery shares under the Purchase Agreement, (iii) the issuance of 198,560 Class A Ordinary Shares under Pre-Paid Purchase #1, (iv) the issuance of an aggregate of 1,650,000 Class A Ordinary Shares to certain consultants for services rendered and (v) the issuance of an aggregate of 1,100,000 Class A Ordinary Shares to certain investors under a securities purchase agreement, dated September 10, 2026, for net proceeds of $750,000, our pro forma net tangible book value as of March 31, 2026 is approximately $23.88 million, or approximately $0.15 per Class A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(i) 5,250,000 Class A Ordinary Shares for a purchase price of $525 under the Side Letter and (ii) 1,358,491 Class A Ordinary Shares under Pre-Paid Purchase #3 at an offering price of $1.59 per share, which was 85% of the last reported sale price of the Class A Ordinary Shares on Nasdaq on September 18, 2026, and after deducting estimated offering expenses payable by us, our pro forma as adjusted net tangible book value as of March 31, 2026 would have been approximately $23.72 million, or approximately $0.14 per Class A Ordinary Share. This amount represents an immediate decrease in net tangible book value of $0.01 per Class A Ordinary Share to existing shareholders and an immediate dilution in net tangible book value of $1.45 per Class A Ordinary Share to purchasers of our Class A Ordinary Shares in this offering, as illustrated in the following table.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80"/>
        <w:gridCol w:w="60"/>
        <w:gridCol w:w="140"/>
        <w:gridCol w:w="515"/>
        <w:gridCol w:w="95"/>
        <w:gridCol w:w="60"/>
        <w:gridCol w:w="140"/>
        <w:gridCol w:w="440"/>
        <w:gridCol w:w="75"/>
      </w:tblGrid>
      <w:tr>
        <w:trPr/>
        <w:tc>
          <w:tcPr>
            <w:tcW w:w="8680" w:type="dxa"/>
            <w:tcBorders/>
            <w:shd w:fill="CCEEFF" w:val="clear"/>
            <w:vAlign w:val="center"/>
          </w:tcPr>
          <w:p>
            <w:pPr>
              <w:pStyle w:val="TableContents"/>
              <w:bidi w:val="0"/>
              <w:spacing w:before="0" w:after="283"/>
              <w:ind w:left="0" w:right="0" w:hanging="180"/>
              <w:jc w:val="left"/>
              <w:rPr/>
            </w:pPr>
            <w:r>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1.59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80" w:type="dxa"/>
            <w:tcBorders/>
            <w:shd w:fill="FFFFFF" w:val="clear"/>
            <w:vAlign w:val="center"/>
          </w:tcPr>
          <w:p>
            <w:pPr>
              <w:pStyle w:val="TableContents"/>
              <w:bidi w:val="0"/>
              <w:spacing w:before="0" w:after="283"/>
              <w:jc w:val="left"/>
              <w:rPr>
                <w:sz w:val="20"/>
              </w:rPr>
            </w:pPr>
            <w:r>
              <w:rPr>
                <w:sz w:val="20"/>
              </w:rPr>
              <w:t xml:space="preserve">Historical net tangible book value per share as of </w:t>
            </w:r>
            <w:r>
              <w:rPr>
                <w:rFonts w:ascii="Times New Roman;Times;Serif" w:hAnsi="Times New Roman;Times;Serif"/>
                <w:sz w:val="20"/>
              </w:rPr>
              <w:t>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0.16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pPr>
            <w:r>
              <w:rPr/>
              <w:t>Decrease per share attributable to the pro forma adjustments described above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80" w:type="dxa"/>
            <w:tcBorders/>
            <w:shd w:fill="FFFFFF" w:val="clear"/>
            <w:vAlign w:val="center"/>
          </w:tcPr>
          <w:p>
            <w:pPr>
              <w:pStyle w:val="TableContents"/>
              <w:bidi w:val="0"/>
              <w:spacing w:before="0" w:after="283"/>
              <w:jc w:val="left"/>
              <w:rPr>
                <w:sz w:val="20"/>
              </w:rPr>
            </w:pPr>
            <w:r>
              <w:rPr>
                <w:sz w:val="20"/>
              </w:rPr>
              <w:t xml:space="preserve">Pro forma net tangible book value per share as of </w:t>
            </w:r>
            <w:r>
              <w:rPr>
                <w:rFonts w:ascii="Times New Roman;Times;Serif" w:hAnsi="Times New Roman;Times;Serif"/>
                <w:sz w:val="20"/>
              </w:rPr>
              <w:t>March 31,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pPr>
            <w:r>
              <w:rPr/>
              <w:t>Decrease in pro forma as adjusted net tangible book value per share attributable to new investors purchasing shares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680" w:type="dxa"/>
            <w:tcBorders/>
            <w:shd w:fill="FFFFFF" w:val="clear"/>
            <w:vAlign w:val="center"/>
          </w:tcPr>
          <w:p>
            <w:pPr>
              <w:pStyle w:val="TableContents"/>
              <w:bidi w:val="0"/>
              <w:spacing w:before="0" w:after="283"/>
              <w:jc w:val="left"/>
              <w:rPr/>
            </w:pPr>
            <w:r>
              <w:rPr/>
              <w:t>Pro forma as adjusted net tangible book value per share after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0.14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680" w:type="dxa"/>
            <w:tcBorders/>
            <w:shd w:fill="CCEEFF" w:val="clear"/>
            <w:vAlign w:val="center"/>
          </w:tcPr>
          <w:p>
            <w:pPr>
              <w:pStyle w:val="TableContents"/>
              <w:bidi w:val="0"/>
              <w:spacing w:before="0" w:after="283"/>
              <w:jc w:val="left"/>
              <w:rPr/>
            </w:pPr>
            <w:r>
              <w:rPr/>
              <w:t>Dilution per share to new investors purchasing shares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40" w:type="dxa"/>
            <w:tcBorders>
              <w:bottom w:val="double" w:sz="10" w:space="0" w:color="000000"/>
            </w:tcBorders>
            <w:shd w:fill="CCEEFF" w:val="clear"/>
            <w:tcMar>
              <w:bottom w:w="28" w:type="dxa"/>
            </w:tcMar>
            <w:vAlign w:val="center"/>
          </w:tcPr>
          <w:p>
            <w:pPr>
              <w:pStyle w:val="TableContents"/>
              <w:bidi w:val="0"/>
              <w:spacing w:before="0" w:after="283"/>
              <w:jc w:val="right"/>
              <w:rPr/>
            </w:pPr>
            <w:r>
              <w:rPr/>
              <w:t>1.45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discussion above exclude:</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41,100 Class A Ordinary Shares reserved under our Amended and Restated 2023 Equity Incentive Plan;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578,900 Class A Ordinary Shares issuable upon the exercise of outstanding options granted under our Amended and Restated 2023 Equity Incentive Plan;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5,000,000 Class A Ordinary Shares issuable upon the exercise of outstanding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s_006"/>
      <w:bookmarkEnd w:id="7"/>
      <w:r>
        <w:rPr>
          <w:rFonts w:ascii="Times New Roman;Times;Serif" w:hAnsi="Times New Roman;Times;Serif"/>
          <w:b/>
          <w:i w:val="false"/>
          <w:caps w:val="false"/>
          <w:smallCaps w:val="false"/>
          <w:sz w:val="20"/>
        </w:rPr>
        <w:t>DESCRIPTION OF SECURITIES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In this offering, we are offering Class A Ordinary Shares pursuant to this prospectus supplement and the accompanying prospectus. The description of our share capital, including the description of our Class A Ordinary Shares, is incorporated by reference to </w:t>
      </w:r>
      <w:hyperlink r:id="rId3">
        <w:r>
          <w:rPr>
            <w:rStyle w:val="InternetLink"/>
            <w:rFonts w:ascii="Times New Roman;Times;Serif" w:hAnsi="Times New Roman;Times;Serif"/>
            <w:b w:val="false"/>
            <w:i w:val="false"/>
            <w:caps w:val="false"/>
            <w:smallCaps w:val="false"/>
            <w:sz w:val="20"/>
          </w:rPr>
          <w:t>Exhibit 2.1</w:t>
        </w:r>
      </w:hyperlink>
      <w:r>
        <w:rPr>
          <w:rFonts w:ascii="Times New Roman;Times;Serif" w:hAnsi="Times New Roman;Times;Serif"/>
          <w:b w:val="false"/>
          <w:i w:val="false"/>
          <w:caps w:val="false"/>
          <w:smallCaps w:val="false"/>
          <w:sz w:val="20"/>
        </w:rPr>
        <w:t xml:space="preserve"> to our Annual Report on </w:t>
      </w:r>
      <w:hyperlink r:id="rId4">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March 31, 2026 filed with the SEC on 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supplement, our authorized share capital is $100,000 divided into 1,000,000,000 shares with a par value of $0.0001 each, consisting of (i) 950,000,000 Class A Ordinary Shares and (ii) 50,000,000 Class B Ordinary Shares. As of the date of this prospectus supplement, there are 163,030,788 Class A Ordinary Shares and 31,371,599 Class B Ordinary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s_007"/>
      <w:bookmarkEnd w:id="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and Pre-Paid Purchase #3, the Investor agreed to advance to us $2,000,000 for Pre-Paid Purchase #3 in the principal amount of $2,160,000. Pre-Paid Purchase #3 bears interest at a rate of eight percent (8%) per annum. In addition, pursuant to the Side Letter, the Investor agreed to pay us $525.00 for 5,250,000 Pre-Delivery Shares pursuant to the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outstanding balance of all Pre-Paid Purchases is zero and the facility funding period has ended (i.e., the earliest of (i) two years from the closing date, (ii) the date the Company has sold $100,000,000 in Pre-Paid Purchases under the Purchase Agreement, or (ii) termination of the Purchase Agreement), the Company may repurchase the Pre-Delivery Shares. Upon written request from the Company, the Investor must deliver the Pre-Delivery Shares (as adjusted for share splits, dividends, combinations, recapitalizations, or similar transactions) within ten (10) trading days, and the Company will pay $0.0001 per Pre-Delivery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Pre-Paid Purchase #3, if the Company fails to make any Amortization Payment by the applicable due date, the Investor has the right to require the Company to issue and sell Class A Ordinary Shares in the respective calendar month in an aggregate Purchase Amount up to the higher of (i) $300,000 or (ii) ten percent (10%) of the aggregate dollar trading volume of the Class A Ordinary Shares on all trading markets for the immediately preceding calendar month. The purchase price per Class A Ordinary Share will be 85% of the lower of (i) the closing trade price on the trading day immediately prior to the purchase notice date or (ii) the average of the daily VWAPs (as defined in Pre-Paid Purchase #3) during the ten (10) trading days immediately prior to the purchase notice date. The Investor shall pay the purchase price of the Class A Ordinary Shares by offsetting the Purchase Amount against the outstanding balance under Pre-Paid Purchase #3. Notwithstanding the foregoing, in no event may the Investor beneficially own, together with its affiliates, more than 9.99% of the Company’s outstanding Class A Ordinary Shares as a result of any share issuance under Pre-Paid Purchase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issuance of Class A Ordinary Shares to the Investor pursuant to the Purchase Agreement, Pre-Paid Purchase #3 and the Side Letter, this prospectus supplement and the accompanying prospectus also cover the resale of those shares from time to time by the Investor to the public. The Investor may be deemed an “underwriter” within the meaning of Section 2(a)(11) of the Securities Act. We have agreed in the Purchase Agreement to provide customary indemnification to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our shares may be sold by the Investor in one or more of the following manners: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ordinary brokerage transactions and transactions in which the broker solicits purchasers;</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a block trade in which the broker or dealer so engaged will attempt to sell the shares as agent, but may position and resell a portion of the block as principal to facilitate the transaction;</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to a broker-dealer as principal and resale by the broker-dealer for its account;</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in market transactions, including transactions on a national securities exchange or quotations service or over-the-counter market; or</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a combination of any such methods of sale.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will be subject to liability under the federal securities laws and must comply with the requirements of the Exchange Act, including, without limitation, Rule 10b-5 and Regulation M under the Exchange Act. With certain exceptions, Regulation M precludes the Investor, any affiliated purchasers, and any broker-dealer or other person who participates in the distribution from bidding for or purchasing, or attempting to induce any person to bid for or purchase, any security that is the subject of the distribution until the entire distribution is complete. Regulation M also prohibits any bids or purchases made in order to stabilize the price of a security in connection with the distribution of that security. These restrictions may affect the marketability of the Class A Ordinary Shares by the Investor and any unaffiliated broker-dealer.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paid the expenses incident to the registration under the Securities Act of the offer and sale of the Class A Ordinary Shares covered by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_008"/>
      <w:bookmarkEnd w:id="9"/>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issuance of the Class A Ordinary Shares offered hereby will be passed upon for us by Conyers Dill &amp; Pearman, our Cayman Islands counsel, to the extent governed by the laws of the Cayman Islands.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_009"/>
      <w:bookmarkEnd w:id="10"/>
      <w:r>
        <w:rPr>
          <w:rFonts w:ascii="Times New Roman;Times;Serif" w:hAnsi="Times New Roman;Time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March 31, 2026 and for the year then ended incorporated by reference in this prospectus supplement have been audited by AOGB CPA Limited, an independent registered public accounting firm, as stated in their report. Such financial statements are incorporated by reference in reliance upon the report of such firm given upon their authority as experts in accounting and auditing. The offices of AOGB CPA Limited are located at Suite 2501-03, Tesbury Centre, 28 Queen’s Road East, Admiralty, Hong Kong.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March 31, 2025 and for the years ended March 31, 2025 and 2024 incorporated by reference in this prospectus supplement have been audited by WWC, P.C., an independent registered public accounting firm, as stated in their report. Such financial statements are incorporated by reference in reliance upon the report of such firm given upon their authority as experts in accounting and auditing. The offices of WWC, P.C. are located at 2010 Pioneer Court, San Mateo, CA 94403.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_010"/>
      <w:bookmarkEnd w:id="11"/>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a registration statement on Form F-3 that we filed with the SEC registering the securities that may be offered and sold hereunder. This prospectus supplement and the accompanying prospectus, which constitute a part of the registration statement, do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supplement or the accompanying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The SEC maintains a website that contains reports, proxy and information statements and other information regarding registrants that file electronically with the SEC. The address of the website is www.sec.gov. Additionally, we will make these filings available, free of charge, on our website at www.alloyx.com as soon as reasonably practicable after we electronically file such materials with, or furnish them to, the SEC. The information on our website, other than these filings, is not, and should not be, considered part of this prospectus supplement and is not incorporated by reference into this document.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_011"/>
      <w:bookmarkEnd w:id="12"/>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 this prospectus supplement, you should rely on the information contained in the document that was filed later. The documents we are incorporating by reference as of their respective dates of filing are:</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5">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March 31, 2026 filed with the SEC on August 3,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Reports of Foreign Private Issuer on Form 6-K filed and/or furnished with the SEC on </w:t>
            </w:r>
            <w:hyperlink r:id="rId6">
              <w:r>
                <w:rPr>
                  <w:rStyle w:val="InternetLink"/>
                  <w:rFonts w:ascii="Times New Roman;Times;Serif" w:hAnsi="Times New Roman;Times;Serif"/>
                  <w:b w:val="false"/>
                  <w:i w:val="false"/>
                  <w:caps w:val="false"/>
                  <w:smallCaps w:val="false"/>
                  <w:sz w:val="20"/>
                </w:rPr>
                <w:t>April 10,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April 21,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June 2,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August 21, 2026</w:t>
              </w:r>
            </w:hyperlink>
            <w:r>
              <w:rPr>
                <w:rFonts w:ascii="Times New Roman;Times;Serif" w:hAnsi="Times New Roman;Times;Serif"/>
                <w:b w:val="false"/>
                <w:i w:val="false"/>
                <w:caps w:val="false"/>
                <w:smallCaps w:val="false"/>
                <w:sz w:val="20"/>
              </w:rPr>
              <w:t xml:space="preserve"> and </w:t>
            </w:r>
            <w:hyperlink r:id="rId10">
              <w:r>
                <w:rPr>
                  <w:rStyle w:val="InternetLink"/>
                  <w:rFonts w:ascii="Times New Roman;Times;Serif" w:hAnsi="Times New Roman;Times;Serif"/>
                  <w:b w:val="false"/>
                  <w:i w:val="false"/>
                  <w:caps w:val="false"/>
                  <w:smallCaps w:val="false"/>
                  <w:sz w:val="20"/>
                </w:rPr>
                <w:t>September 21, 2026</w:t>
              </w:r>
            </w:hyperlink>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ordinary shares contained in </w:t>
            </w:r>
            <w:hyperlink r:id="rId11">
              <w:r>
                <w:rPr>
                  <w:rStyle w:val="InternetLink"/>
                  <w:rFonts w:ascii="Times New Roman;Times;Serif" w:hAnsi="Times New Roman;Times;Serif"/>
                  <w:b w:val="false"/>
                  <w:i w:val="false"/>
                  <w:caps w:val="false"/>
                  <w:smallCaps w:val="false"/>
                  <w:sz w:val="20"/>
                </w:rPr>
                <w:t>Exhibit 2.1</w:t>
              </w:r>
            </w:hyperlink>
            <w:r>
              <w:rPr>
                <w:rFonts w:ascii="Times New Roman;Times;Serif" w:hAnsi="Times New Roman;Times;Serif"/>
                <w:b w:val="false"/>
                <w:i w:val="false"/>
                <w:caps w:val="false"/>
                <w:smallCaps w:val="false"/>
                <w:sz w:val="20"/>
              </w:rPr>
              <w:t xml:space="preserve"> to our Annual Report on </w:t>
            </w:r>
            <w:hyperlink r:id="rId12">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March 31, 2026 filed with the SEC on August 3, 2026, including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subsequent annual reports on Form 20-F and all subsequent reports on Form 6-K submitted by us to the SEC that are identified by us as being incorporated by reference shall be deemed to be incorporated by reference into this prospectus supplement and deemed to be a part hereof after the date of this prospectus supplement but before the termination of the offering under this prospectus supplement. Unless expressly incorporated by reference, nothing in this prospectus supplement and the accompanying prospectus shall be deemed to incorporate by reference information furnished to, but not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all documents incorporated by reference in this prospectus supplement, including exhibits to these documents, will be provided at no cost to each person, including any beneficial owner, who receives a copy of this prospectus supplement on the written or oral request of that person made to: SOLOWIN HOLDINGS, Room 1910-1912A, Tower 3, China Hong Kong City, 33 Canton Road, Tsim Sha Tsui, Kowloon, Hong Kong, and telephone number +852 3428-3893.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$2,160,000 of Class A Ordinary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5,250,000 Class A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38325"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838325" cy="533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00175" cy="1047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1400175" cy="1047750"/>
                    </a:xfrm>
                    <a:prstGeom prst="rect">
                      <a:avLst/>
                    </a:prstGeom>
                  </pic:spPr>
                </pic:pic>
              </a:graphicData>
            </a:graphic>
          </wp:inline>
        </w:drawing>
      </w: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2,960,000 Ordinary Shares Offered by the Selling Shareholder</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HOLDINGS, a Cayman Islands exempted holding company (“Solowin”), is not an operating company, but a Cayman Islands holding company with operations primarily conducted by its wholly owned subsidiaries, Solomon JFZ (Asia) Holdings Limited (“Solomon JFZ”) and Solomon Private Wealth Limited (“Solomon Wealth” and together with Solomon JFZ, “HK Subsidiaries”), each a limited liability corporation incorporated in Hong Kong.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may offer, issue and sell from time to time Ordinary Shares, $0.0001 par value per share (“Ordinary Shares”), preferred shares, $0.0001 par value per share, debt securities, warrants, rights or units up to $200,000,000 or its equivalent in any other currency, currency units, or composite currency or currencies in one or more issuances. Solowin may sell any combination of these securities in one or more offerings.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prospectus relates to the resale, from time to time, of up to an aggregate of 2,960,000 Ordinary Shares by the selling shareholder named in this prospectus, including its donees, pledgees, transferees, assignees or other successors-in-interest. We will not receive any proceeds from sales of the Ordinary Shares offered by the selling shareholder although we will incur certain expenses in connection with such offering.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contained or incorporated in this prospectus or in any prospectus supplement is accurate only as of the date of this prospectus, or such prospectus supplement, as applicable, regardless of the time of delivery of this prospectus or any sale of our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Solowin’s Ordinary Shares are listed on the Nasdaq Capital Market tier of The Nasdaq Stock Market LLC under the symbol “SWIN”. On October 24, 2024, the closing sale price of Solowin’s Ordinary Shares on the Nasdaq Capital Market was $2.76. As of October 24, 2024, the aggregate market value of outstanding Ordinary Shares held by non-affiliates was approximately $16.63 million based on 15,980,000 Ordinary Shares issued and outstanding, of which approximately 4,980,000 Ordinary Shares were held by non-affiliates, and the last sale price of Ordinary Shares as reported by the Nasdaq Capital Market of $3.34 per share on October 2, 2024, which was the highest closing price of Ordinary Shares reported on the NASDAQ Capital Market within the last 60 days prior to the date of this filing. Pursuant to General Instruction I.B.5 of Form F-3, in no event will Solowin sell securities in primary offerings pursuant to this registration statement with a value more than one-third of the aggregate market value of its Ordinary Shares held by non-affiliates in any 12-month period, so long as the aggregate market value of its Ordinary Shares held by non-affiliates is less than $75.0 million. However, the resale of up to an aggregate of 2,960,000 Ordinary Shares by the selling shareholder named in this prospectus is not subject to the above limitation. In addition, in the event that subsequent to the effective date of this registration statement, the aggregate market value of its outstanding Ordinary Shares held by non-affiliates equals or exceeds $75.0 million, then the one-third limitation on primary offerings shall not apply to additional sales made pursuant to this registration statement. We have not sold any Ordinary Share pursuant to General Instruction I.B.5 of Form F-3 during the prior 12 calendar month period that ends on, and includes, the date of this 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some of the general terms that may apply to these securities and the general manner in which they may be offered. Solowin will provide the specific terms of the securities, and the manner in which they will be offered, in one or more supplements to this prospectus. Any supplement may also add, update or change information contained, or incorporated by reference, in this prospectus. You should read carefully both this prospectus and the applicable prospectus supplement, together with the additional information described under the headings “Where You Can Find More Information” and “Incorporation of Certain Information by Reference,” before you invest in our securities. The amount and price of the offered securities will be determined at the time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offered and sold in the same offering or in separate offerings, to or through underwriting syndicates managed or co-managed by one or more underwriters, through agents, or directly to purchasers. The names of any underwriters, dealers or agents involved in the sale of our securities, their compensation and any option to purchase additional securities held by them will be described in the applicable prospectus supplement. For general information about the distribution of securities offered, please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carefully consider the risk factors beginning on page 12 of this prospectus, in any accompanying prospectus supplement and in any related free writing prospectus, and in the documents incorporated by reference into this prospectus, any accompanying prospectus supplement and any related free writing prospectus before making any decision to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incorporated in the Cayman Islands. Solowin has no material operations of its own, and as of the date of this prospectus, substantially all of our operations are conducted through the HK Subsidiaries. We do not have and have no intention to operate its business through a variable interest entities (“VIE”)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holding company structure involves unique risks to investors, and you may never directly hold equity interests in our operating subsidiaries. As of the date of this prospectus, HK Subsidiaries’ operations in Hong Kong and our offering of the Ordinary Shares in the United States are not subject to the review nor prior approval of the Cyberspace Administration of China (the “CAC”) or the China Securities Regulatory Commission (the “CSRC”). However, we face various legal and operational risks and uncertainties associated with being based in or having operations in Hong Kong, having clients who are PRC individuals or companies that have shareholders or directors that are PRC individuals and the complex and evolving PRC laws and regulations. The legal and operational risks associated with operations in China will apply to HK Subsidiaries’ operations in Hong Kong, should recent statements and regulatory actions by the Chinese government apply to issuers based in Hong Kong in the future. In that case, we will face risks associated with regulatory approvals on foreign investment in Hong Kong-based issuers, anti-monopoly regulatory actions, oversight on cybersecurity, data privacy and personal information. The PRC government may also intervene or impose restrictions on HK Subsidiaries’ ability to move cash out of Hong Kong to distribute earnings or pay dividends to Solowin or U.S. investors. Furthermore, PRC regulatory authorities may in the future promulgate laws, regulations or implementing rules that require us to obtain regulatory approval from PRC authorities before this or any future securities offering. These risks could result in a material adverse change in HK Subsidiaries’ business operations and the value of the Ordinary Shares, restrictions in HK Subsidiaries’ ability to accept foreign investments, significantly limit or completely hinder Solowin’s ability to continue to offer securities to investors or continued listing of the Ordinary Shares on the Nasdaq, or cause the value of such securities to significantly decline or become worthless. See “</w:t>
      </w:r>
      <w:r>
        <w:rPr>
          <w:rFonts w:ascii="Times New Roman;Times;Serif" w:hAnsi="Times New Roman;Times;Serif"/>
          <w:b w:val="false"/>
          <w:i/>
          <w:caps w:val="false"/>
          <w:smallCaps w:val="false"/>
          <w:sz w:val="20"/>
        </w:rPr>
        <w:t>Risk Factors — Risks Related to Doing Business in Jurisdictions We Operate</w:t>
      </w:r>
      <w:r>
        <w:rPr>
          <w:rFonts w:ascii="Times New Roman;Times;Serif" w:hAnsi="Times New Roman;Times;Serif"/>
          <w:b w:val="false"/>
          <w:i w:val="false"/>
          <w:caps w:val="false"/>
          <w:smallCaps w:val="false"/>
          <w:sz w:val="20"/>
        </w:rPr>
        <w:t>” of this prospectus for a discussion of these legal and operational risks that should be considered before making a decision to purchase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on February 17, 2023, the CSRC issued the Notice on Filing Arrangements for Overseas Securities Offering and Listing by Domestic Companies, stating that the CSRC has published the Trial Administrative Measures of Overseas Securities Offering and Listing by Domestic Companies and five supporting guidelines (collectively, the “New Overseas Listing Rules”). Among others, the New Overseas Listing Rules provide that PRC domestic companies seeking to offer and list securities (which, for the purposes of the New Overseas Listing Rules, are defined thereunder as equity shares, depository receipts, corporate bonds convertible to equity shares, and other equity securities that are offered and listed overseas, either directly or indirectly, by PRC domestic companies) in overseas markets, either via direct or indirect means, must file with the CSRC within three working days after their application for an overseas listing is submitted. The New Overseas Listing Rules came into effect on March 31, 2023. As of the date of this prospectus, we are not subject to the New Overseas Listing Rules because we do not own any PRC entity and we are not deemed a “domestic company” as defined under the New Overseas Listing Rules. However, given that the New Overseas Listing Rules were introduced recently, and that there remain substantial uncertainties surrounding the enforcement thereof, we cannot assure you that, if required, we would be able to complete the filings and/or fully comply with the relevant new rules on a timely basis,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as more stringent standards have been imposed by the Securities and Exchange Commission (the “SEC”) and the Public Company Accounting Oversight Board (the “PCAOB”) recently, Solowin’s securities may be prohibited from trading if our auditor cannot be fully inspected by the PCAOB. Pursuant to the Holding Foreign Companies Accountable Act (the “HFCA Act”) enacted in 2020, if the auditor of a U.S. listed company’s financial statements is not subject to the PCAOB inspections for three consecutive “non-inspection” years, the SEC is required to prohibit the securities of such issuer from being traded on a U.S. national securities exchange, such as NYSE and Nasdaq, or in U.S. over-the-counter markets. On June 22, 2021, the U.S. Senate passed the Accelerating Holding Foreign Companies Accountable Act (the “AHFCAA”), which, if enacted into law, would amend the HFCA Act and require the SEC to prohibit an issuer’s securities from trading on U.S. stock exchanges if its auditor is not subject to the PCAOB inspections for two consecutive “non-inspection” years instead of three and thus, reduces the time before Solowin’s securities may be prohibited from trading or delisted. In December 2022, an omnibus spending bill was passed by Congress and later signed into law, which included the enactment of provisions under the AHFCAA to accelerate the timeline for implementation of trading prohibitions under the HFCA Act from three consecutive years to two consecutive years. Pursuant to the HFCA Act, on December 16, 2021, the PCAOB issued its determination that the PCAOB was unable to inspect or investigate completely PCAOB-registered public accounting firms headquartered in mainland China or in Hong Kong, because of positions taken by authorities in the jurisdictions, and the PCAOB included in the report of its determination a list of the accounting firms that are headquartered in mainland China or Hong Kong. This list did not include our auditor, WWC, P.C., as our auditor is based in the U.S. and is registered with the PCAOB and subject to the PCAOB inspection. On August 26, 2022, the CSRC, the Ministry of Finance of the PRC (the “MOF”), and the PCAOB signed a Statement of Protocol (the “Protocol”) governing inspections and investigations of accounting firms based in mainland China and Hong Kong, taking the first step toward opening access for the PCAOB to inspect and investigate registered public accounting firms headquartered in mainland China and Hong Kong. On December 15, 2022, the PCAOB made a statement announcing that it was able, in 2022, to inspect and investigate completely issuer audit engagements of PCAOB-registered public accounting firms headquartered in mainland China and Hong Kong and as a result, PCAOB vacated its previous 2021 determination. However, uncertainties still exist as to whether the PCAOB will have continued access for complete inspections and investigations in the future. The PCAOB has indicated that it will act immediately to consider the need to issue new determinations if needed. While our auditor is based in the U.S. and is subject to the PCAOB inspection, in the event the PCAOB later determines that it is unable to inspect or investigate completely our auditor, then such lack of inspection could cause Solowin’s securities to be delisted from the U.S. stock exchange. See “</w:t>
      </w:r>
      <w:r>
        <w:rPr>
          <w:rFonts w:ascii="Times New Roman;Times;Serif" w:hAnsi="Times New Roman;Times;Serif"/>
          <w:b w:val="false"/>
          <w:i/>
          <w:caps w:val="false"/>
          <w:smallCaps w:val="false"/>
          <w:sz w:val="20"/>
        </w:rPr>
        <w:t>Risk Factors — Risks Related to Doing Business in Jurisdictions We Operate — The Ordinary Shares may be prohibited from trading in the United States under the HFCA Act in the future if the PCAOB is unable to inspect or investigate completely auditors located in China or Hong Kong. The delisting of the Ordinary Shares, or the threat of their being delisted, may materially and adversely affect the value of your investment.</w:t>
      </w:r>
      <w:r>
        <w:rPr>
          <w:rFonts w:ascii="Times New Roman;Times;Serif" w:hAnsi="Times New Roman;Times;Serif"/>
          <w:b w:val="false"/>
          <w:i w:val="false"/>
          <w:caps w:val="false"/>
          <w:smallCaps w:val="false"/>
          <w:sz w:val="20"/>
        </w:rPr>
        <w:t>” In addition, we cannot assure you that Nasdaq or other regulatory agencies will not apply additional or more stringent requirements to us. Such uncertainty could cause the market price of the Ordinary Shares to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(As Revised) of the Cayman Islands and Solowin’s amended and restated memorandum and articles of association, Solowin’s board of directors may authorize and declare a dividend to shareholders at such time and of such an amount as they think fit if they are satisfied, on reasonable grounds, that immediately following the dividend it will be able to pay its debts as they become due in the ordinary course of business. For Solowin to transfer cash to HK Subsidiaries, Solowin may provide funding to HK Subsidiaries through loans or capital contributions without restrictions on the amount of the funds. As a holding company, Solowin may rely on dividends and other distributions on equity paid by HK Subsidiaries for its cash and financing requirements. Under Hong Kong law, HK Subsidiaries are permitted to provide funding to Solowin through dividend distribution without restrictions on the amount of the funds under the condition that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HK Subsidiaries. HK Subsidiaries have not declared any dividends or made other distributions to Solowin as of the date of this prospectus. In the future, cash proceeds raised from financings conducted outside of Hong Kong may be transferred by Solowin to HK Subsidiaries via capital contribution or shareholder loans, as the case may be. As of the date of this prospectus, neither Solowin nor any HK Subsidiary has paid any dividends or made any distributions to their respective shareholder(s), including any U.S. investors. During the years ended March 31, 2024, 2023 and 2022, and during the subsequent period up to the date of this prospectus, the transfer of cash between Solowin and HK Subsidiaries totaled approximately $957,000. This amount represented the repayment by Solowin to Solomon JFZ for certain IPO related expenses paid by Solomon JFZ and advances made by Solowin to Solomon Wealth for its operations. There has been no transfer of other types of assets between Solowin and HK Subsidiaries.  HK Subsidiaries, which conduct our substantive operations, maintain the cash. Currently, other than complying with the applicable Hong Kong laws and regulations, we do not have our own cash management policy or procedures that dictate how funds are transferred. Neither Solowin nor any of the HK Subsidiaries currently has plans to distribute earnings or declare cash dividends in the foreseeable future. We intend to keep any future earnings to finance the expansion of HK Subsidiaries’ business.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no such restrictions on foreign exchange or our ability to transfer cash or assets between Solowin and HK Subsidiaries. However, if certain PRC laws and regulations, including existing laws and regulations and those enacted or promulgated in the future were to become applicable to HK Subsidiaries, and to the extent our cash or assets are in Hong Kong or a Hong Kong entity, such funds or assets may not be available to fund operations or for other use outside of Hong Kong due to interventions in or the imposition of restrictions and limitations on HK Subsidiaries’ ability to transfer funds or assets by the PRC government. Furthermore, we cannot assure you that the PRC government will not intervene or impose restrictions on Solowin or HK Subsidiaries in their transferring or distributing cash within the organization, which could result in an inability of or prohibition on making transfers or distributions to entities outside of Hong Kong. Any limitation on the ability of HK Subsidiaries to pay dividends or make other distributions to Solowin could materially and adversely limit our ability to grow, make investments or acquisitions that could be beneficial to our business, pay dividends to U.S. investors, or otherwise fund and conduct our business. In addition, if any of the HK Subsidiaries incurs debt on its own behalf in the future, the instruments governing such debt may restrict its ability to pay dividends. See “</w:t>
      </w:r>
      <w:r>
        <w:rPr>
          <w:rFonts w:ascii="Times New Roman;Times;Serif" w:hAnsi="Times New Roman;Times;Serif"/>
          <w:b w:val="false"/>
          <w:i/>
          <w:caps w:val="false"/>
          <w:smallCaps w:val="false"/>
          <w:sz w:val="20"/>
        </w:rPr>
        <w:t>Prospectus Summary — Transfer of Cash Through Our Organization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 — Risks Related to Our Business and Industry — 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November 8,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4115"/>
        <w:gridCol w:w="60"/>
        <w:gridCol w:w="45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4115" w:type="dxa"/>
            <w:tcBorders/>
            <w:shd w:fill="CCEEFF" w:val="clear"/>
            <w:vAlign w:val="center"/>
          </w:tcPr>
          <w:p>
            <w:pPr>
              <w:pStyle w:val="TableContents"/>
              <w:bidi w:val="0"/>
              <w:spacing w:before="0" w:after="283"/>
              <w:jc w:val="left"/>
              <w:rPr/>
            </w:pPr>
            <w:hyperlink w:anchor="a_002">
              <w:r>
                <w:rPr>
                  <w:rStyle w:val="InternetLink"/>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1</w:t>
            </w:r>
          </w:p>
        </w:tc>
      </w:tr>
      <w:tr>
        <w:trPr/>
        <w:tc>
          <w:tcPr>
            <w:tcW w:w="4115" w:type="dxa"/>
            <w:tcBorders/>
            <w:shd w:fill="FFFFFF" w:val="clear"/>
            <w:vAlign w:val="center"/>
          </w:tcPr>
          <w:p>
            <w:pPr>
              <w:pStyle w:val="TableContents"/>
              <w:bidi w:val="0"/>
              <w:spacing w:before="0" w:after="283"/>
              <w:jc w:val="left"/>
              <w:rPr/>
            </w:pPr>
            <w:hyperlink w:anchor="a_003">
              <w:r>
                <w:rPr>
                  <w:rStyle w:val="InternetLink"/>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12</w:t>
            </w:r>
          </w:p>
        </w:tc>
      </w:tr>
      <w:tr>
        <w:trPr/>
        <w:tc>
          <w:tcPr>
            <w:tcW w:w="4115" w:type="dxa"/>
            <w:tcBorders/>
            <w:shd w:fill="CCEEFF" w:val="clear"/>
            <w:vAlign w:val="center"/>
          </w:tcPr>
          <w:p>
            <w:pPr>
              <w:pStyle w:val="TableContents"/>
              <w:bidi w:val="0"/>
              <w:spacing w:before="0" w:after="283"/>
              <w:jc w:val="left"/>
              <w:rPr/>
            </w:pPr>
            <w:hyperlink w:anchor="a_004">
              <w:r>
                <w:rPr>
                  <w:rStyle w:val="InternetLink"/>
                  <w:sz w:val="20"/>
                </w:rPr>
                <w:t>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42</w:t>
            </w:r>
          </w:p>
        </w:tc>
      </w:tr>
      <w:tr>
        <w:trPr/>
        <w:tc>
          <w:tcPr>
            <w:tcW w:w="4115" w:type="dxa"/>
            <w:tcBorders/>
            <w:shd w:fill="FFFFFF" w:val="clear"/>
            <w:vAlign w:val="center"/>
          </w:tcPr>
          <w:p>
            <w:pPr>
              <w:pStyle w:val="TableContents"/>
              <w:bidi w:val="0"/>
              <w:spacing w:before="0" w:after="283"/>
              <w:jc w:val="left"/>
              <w:rPr/>
            </w:pPr>
            <w:hyperlink w:anchor="a_005">
              <w:r>
                <w:rPr>
                  <w:rStyle w:val="InternetLink"/>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42</w:t>
            </w:r>
          </w:p>
        </w:tc>
      </w:tr>
      <w:tr>
        <w:trPr/>
        <w:tc>
          <w:tcPr>
            <w:tcW w:w="4115" w:type="dxa"/>
            <w:tcBorders/>
            <w:shd w:fill="CCEEFF" w:val="clear"/>
            <w:vAlign w:val="center"/>
          </w:tcPr>
          <w:p>
            <w:pPr>
              <w:pStyle w:val="TableContents"/>
              <w:bidi w:val="0"/>
              <w:spacing w:before="0" w:after="283"/>
              <w:jc w:val="left"/>
              <w:rPr/>
            </w:pPr>
            <w:hyperlink w:anchor="a_006">
              <w:r>
                <w:rPr>
                  <w:rStyle w:val="InternetLink"/>
                  <w:sz w:val="20"/>
                </w:rPr>
                <w:t>Capitalization and Indebtedness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42</w:t>
            </w:r>
          </w:p>
        </w:tc>
      </w:tr>
      <w:tr>
        <w:trPr/>
        <w:tc>
          <w:tcPr>
            <w:tcW w:w="4115" w:type="dxa"/>
            <w:tcBorders/>
            <w:shd w:fill="FFFFFF" w:val="clear"/>
            <w:vAlign w:val="center"/>
          </w:tcPr>
          <w:p>
            <w:pPr>
              <w:pStyle w:val="TableContents"/>
              <w:bidi w:val="0"/>
              <w:spacing w:before="0" w:after="283"/>
              <w:jc w:val="left"/>
              <w:rPr/>
            </w:pPr>
            <w:hyperlink w:anchor="a_007">
              <w:r>
                <w:rPr>
                  <w:rStyle w:val="InternetLink"/>
                  <w:sz w:val="20"/>
                </w:rPr>
                <w:t>Description of Share Capital</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43</w:t>
            </w:r>
          </w:p>
        </w:tc>
      </w:tr>
      <w:tr>
        <w:trPr/>
        <w:tc>
          <w:tcPr>
            <w:tcW w:w="4115" w:type="dxa"/>
            <w:tcBorders/>
            <w:shd w:fill="CCEEFF" w:val="clear"/>
            <w:vAlign w:val="center"/>
          </w:tcPr>
          <w:p>
            <w:pPr>
              <w:pStyle w:val="TableContents"/>
              <w:bidi w:val="0"/>
              <w:spacing w:before="0" w:after="283"/>
              <w:jc w:val="left"/>
              <w:rPr/>
            </w:pPr>
            <w:hyperlink w:anchor="a_008">
              <w:r>
                <w:rPr>
                  <w:rStyle w:val="InternetLink"/>
                  <w:sz w:val="20"/>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43</w:t>
            </w:r>
          </w:p>
        </w:tc>
      </w:tr>
      <w:tr>
        <w:trPr/>
        <w:tc>
          <w:tcPr>
            <w:tcW w:w="4115" w:type="dxa"/>
            <w:tcBorders/>
            <w:shd w:fill="FFFFFF" w:val="clear"/>
            <w:vAlign w:val="center"/>
          </w:tcPr>
          <w:p>
            <w:pPr>
              <w:pStyle w:val="TableContents"/>
              <w:bidi w:val="0"/>
              <w:spacing w:before="0" w:after="283"/>
              <w:jc w:val="left"/>
              <w:rPr/>
            </w:pPr>
            <w:hyperlink w:anchor="a_009">
              <w:r>
                <w:rPr>
                  <w:rStyle w:val="InternetLink"/>
                  <w:sz w:val="20"/>
                </w:rPr>
                <w:t>Description of Warrants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52</w:t>
            </w:r>
          </w:p>
        </w:tc>
      </w:tr>
      <w:tr>
        <w:trPr/>
        <w:tc>
          <w:tcPr>
            <w:tcW w:w="4115" w:type="dxa"/>
            <w:tcBorders/>
            <w:shd w:fill="CCEEFF" w:val="clear"/>
            <w:vAlign w:val="center"/>
          </w:tcPr>
          <w:p>
            <w:pPr>
              <w:pStyle w:val="TableContents"/>
              <w:bidi w:val="0"/>
              <w:spacing w:before="0" w:after="283"/>
              <w:jc w:val="left"/>
              <w:rPr/>
            </w:pPr>
            <w:hyperlink w:anchor="a_010">
              <w:r>
                <w:rPr>
                  <w:rStyle w:val="InternetLink"/>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53</w:t>
            </w:r>
          </w:p>
        </w:tc>
      </w:tr>
      <w:tr>
        <w:trPr/>
        <w:tc>
          <w:tcPr>
            <w:tcW w:w="4115" w:type="dxa"/>
            <w:tcBorders/>
            <w:shd w:fill="FFFFFF" w:val="clear"/>
            <w:vAlign w:val="center"/>
          </w:tcPr>
          <w:p>
            <w:pPr>
              <w:pStyle w:val="TableContents"/>
              <w:bidi w:val="0"/>
              <w:spacing w:before="0" w:after="283"/>
              <w:jc w:val="left"/>
              <w:rPr/>
            </w:pPr>
            <w:hyperlink w:anchor="a_011">
              <w:r>
                <w:rPr>
                  <w:rStyle w:val="InternetLink"/>
                  <w:sz w:val="20"/>
                </w:rPr>
                <w:t>Description of Units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54</w:t>
            </w:r>
          </w:p>
        </w:tc>
      </w:tr>
      <w:tr>
        <w:trPr/>
        <w:tc>
          <w:tcPr>
            <w:tcW w:w="4115" w:type="dxa"/>
            <w:tcBorders/>
            <w:shd w:fill="CCEEFF" w:val="clear"/>
            <w:vAlign w:val="center"/>
          </w:tcPr>
          <w:p>
            <w:pPr>
              <w:pStyle w:val="TableContents"/>
              <w:bidi w:val="0"/>
              <w:spacing w:before="0" w:after="283"/>
              <w:jc w:val="left"/>
              <w:rPr/>
            </w:pPr>
            <w:hyperlink w:anchor="a_012">
              <w:r>
                <w:rPr>
                  <w:rStyle w:val="InternetLink"/>
                  <w:sz w:val="20"/>
                </w:rPr>
                <w:t>Selling Shareholder</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55</w:t>
            </w:r>
          </w:p>
        </w:tc>
      </w:tr>
      <w:tr>
        <w:trPr/>
        <w:tc>
          <w:tcPr>
            <w:tcW w:w="4115" w:type="dxa"/>
            <w:tcBorders/>
            <w:shd w:fill="FFFFFF" w:val="clear"/>
            <w:vAlign w:val="center"/>
          </w:tcPr>
          <w:p>
            <w:pPr>
              <w:pStyle w:val="TableContents"/>
              <w:bidi w:val="0"/>
              <w:spacing w:before="0" w:after="283"/>
              <w:jc w:val="left"/>
              <w:rPr/>
            </w:pPr>
            <w:hyperlink w:anchor="a_013">
              <w:r>
                <w:rPr>
                  <w:rStyle w:val="InternetLink"/>
                  <w:sz w:val="20"/>
                </w:rPr>
                <w:t>Taxation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55</w:t>
            </w:r>
          </w:p>
        </w:tc>
      </w:tr>
      <w:tr>
        <w:trPr/>
        <w:tc>
          <w:tcPr>
            <w:tcW w:w="4115" w:type="dxa"/>
            <w:tcBorders/>
            <w:shd w:fill="CCEEFF" w:val="clear"/>
            <w:vAlign w:val="center"/>
          </w:tcPr>
          <w:p>
            <w:pPr>
              <w:pStyle w:val="TableContents"/>
              <w:bidi w:val="0"/>
              <w:spacing w:before="0" w:after="283"/>
              <w:jc w:val="left"/>
              <w:rPr/>
            </w:pPr>
            <w:hyperlink w:anchor="a_014">
              <w:r>
                <w:rPr>
                  <w:rStyle w:val="InternetLink"/>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56</w:t>
            </w:r>
          </w:p>
        </w:tc>
      </w:tr>
      <w:tr>
        <w:trPr/>
        <w:tc>
          <w:tcPr>
            <w:tcW w:w="4115" w:type="dxa"/>
            <w:tcBorders/>
            <w:shd w:fill="FFFFFF" w:val="clear"/>
            <w:vAlign w:val="center"/>
          </w:tcPr>
          <w:p>
            <w:pPr>
              <w:pStyle w:val="TableContents"/>
              <w:bidi w:val="0"/>
              <w:spacing w:before="0" w:after="283"/>
              <w:jc w:val="left"/>
              <w:rPr/>
            </w:pPr>
            <w:hyperlink w:anchor="a_015">
              <w:r>
                <w:rPr>
                  <w:rStyle w:val="InternetLink"/>
                  <w:sz w:val="20"/>
                </w:rPr>
                <w:t>Expenses of Issuance and Distribution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58</w:t>
            </w:r>
          </w:p>
        </w:tc>
      </w:tr>
      <w:tr>
        <w:trPr/>
        <w:tc>
          <w:tcPr>
            <w:tcW w:w="4115" w:type="dxa"/>
            <w:tcBorders/>
            <w:shd w:fill="CCEEFF" w:val="clear"/>
            <w:vAlign w:val="center"/>
          </w:tcPr>
          <w:p>
            <w:pPr>
              <w:pStyle w:val="TableContents"/>
              <w:bidi w:val="0"/>
              <w:spacing w:before="0" w:after="283"/>
              <w:jc w:val="left"/>
              <w:rPr/>
            </w:pPr>
            <w:hyperlink w:anchor="a_016">
              <w:r>
                <w:rPr>
                  <w:rStyle w:val="InternetLink"/>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58</w:t>
            </w:r>
          </w:p>
        </w:tc>
      </w:tr>
      <w:tr>
        <w:trPr/>
        <w:tc>
          <w:tcPr>
            <w:tcW w:w="4115" w:type="dxa"/>
            <w:tcBorders/>
            <w:shd w:fill="FFFFFF" w:val="clear"/>
            <w:vAlign w:val="center"/>
          </w:tcPr>
          <w:p>
            <w:pPr>
              <w:pStyle w:val="TableContents"/>
              <w:bidi w:val="0"/>
              <w:spacing w:before="0" w:after="283"/>
              <w:jc w:val="left"/>
              <w:rPr/>
            </w:pPr>
            <w:hyperlink w:anchor="a_017">
              <w:r>
                <w:rPr>
                  <w:rStyle w:val="InternetLink"/>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58</w:t>
            </w:r>
          </w:p>
        </w:tc>
      </w:tr>
      <w:tr>
        <w:trPr/>
        <w:tc>
          <w:tcPr>
            <w:tcW w:w="4115" w:type="dxa"/>
            <w:tcBorders/>
            <w:shd w:fill="CCEEFF" w:val="clear"/>
            <w:vAlign w:val="center"/>
          </w:tcPr>
          <w:p>
            <w:pPr>
              <w:pStyle w:val="TableContents"/>
              <w:bidi w:val="0"/>
              <w:spacing w:before="0" w:after="283"/>
              <w:jc w:val="left"/>
              <w:rPr/>
            </w:pPr>
            <w:hyperlink w:anchor="a_018">
              <w:r>
                <w:rPr>
                  <w:rStyle w:val="InternetLink"/>
                  <w:sz w:val="20"/>
                </w:rPr>
                <w:t>Indemnification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58</w:t>
            </w:r>
          </w:p>
        </w:tc>
      </w:tr>
      <w:tr>
        <w:trPr/>
        <w:tc>
          <w:tcPr>
            <w:tcW w:w="4115" w:type="dxa"/>
            <w:tcBorders/>
            <w:shd w:fill="FFFFFF" w:val="clear"/>
            <w:vAlign w:val="center"/>
          </w:tcPr>
          <w:p>
            <w:pPr>
              <w:pStyle w:val="TableContents"/>
              <w:bidi w:val="0"/>
              <w:spacing w:before="0" w:after="283"/>
              <w:jc w:val="left"/>
              <w:rPr/>
            </w:pPr>
            <w:hyperlink w:anchor="a_019">
              <w:r>
                <w:rPr>
                  <w:rStyle w:val="InternetLink"/>
                  <w:sz w:val="20"/>
                </w:rPr>
                <w:t>Enforcement of Civil Liabilities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59</w:t>
            </w:r>
          </w:p>
        </w:tc>
      </w:tr>
      <w:tr>
        <w:trPr/>
        <w:tc>
          <w:tcPr>
            <w:tcW w:w="4115" w:type="dxa"/>
            <w:tcBorders/>
            <w:shd w:fill="CCEEFF" w:val="clear"/>
            <w:vAlign w:val="center"/>
          </w:tcPr>
          <w:p>
            <w:pPr>
              <w:pStyle w:val="TableContents"/>
              <w:bidi w:val="0"/>
              <w:spacing w:before="0" w:after="283"/>
              <w:jc w:val="left"/>
              <w:rPr/>
            </w:pPr>
            <w:hyperlink w:anchor="a_020">
              <w:r>
                <w:rPr>
                  <w:rStyle w:val="InternetLink"/>
                  <w:sz w:val="20"/>
                </w:rPr>
                <w:t>Material Changes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60</w:t>
            </w:r>
          </w:p>
        </w:tc>
      </w:tr>
      <w:tr>
        <w:trPr/>
        <w:tc>
          <w:tcPr>
            <w:tcW w:w="4115" w:type="dxa"/>
            <w:tcBorders/>
            <w:shd w:fill="FFFFFF" w:val="clear"/>
            <w:vAlign w:val="center"/>
          </w:tcPr>
          <w:p>
            <w:pPr>
              <w:pStyle w:val="TableContents"/>
              <w:bidi w:val="0"/>
              <w:spacing w:before="0" w:after="283"/>
              <w:jc w:val="left"/>
              <w:rPr/>
            </w:pPr>
            <w:hyperlink w:anchor="a_021">
              <w:r>
                <w:rPr>
                  <w:rStyle w:val="InternetLink"/>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sz w:val="20"/>
              </w:rPr>
            </w:pPr>
            <w:r>
              <w:rPr>
                <w:sz w:val="20"/>
              </w:rPr>
              <w:t>60</w:t>
            </w:r>
          </w:p>
        </w:tc>
      </w:tr>
      <w:tr>
        <w:trPr/>
        <w:tc>
          <w:tcPr>
            <w:tcW w:w="4115" w:type="dxa"/>
            <w:tcBorders/>
            <w:shd w:fill="CCEEFF" w:val="clear"/>
            <w:vAlign w:val="center"/>
          </w:tcPr>
          <w:p>
            <w:pPr>
              <w:pStyle w:val="TableContents"/>
              <w:bidi w:val="0"/>
              <w:spacing w:before="0" w:after="283"/>
              <w:jc w:val="left"/>
              <w:rPr/>
            </w:pPr>
            <w:hyperlink w:anchor="a_022">
              <w:r>
                <w:rPr>
                  <w:rStyle w:val="InternetLink"/>
                  <w:sz w:val="20"/>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61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01"/>
      <w:bookmarkEnd w:id="13"/>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using a “shelf” registration process. Under this shelf registration process, we may sell our securities described in this prospectus in one or more offerings up to a total dollar amount of $200,000,000 (or its equivalent in foreign or composite currencies). In addition, under this shelf registration process, the selling shareholder named in this prospectus under the caption “Selling Shareholder,” may offer or sell up to 2,960,000 Ordinary Shares in one or more offerings from time to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that may be offered. Each time we, or the selling shareholder, offers securities, we or the selling shareholder will provide you with one or more supplements to this prospectus that will describe the specific amounts, prices and terms of the securities offered. The prospectus supplement may also add, update or change information contained in this prospectus. This prospectus, together with applicable prospectus supplements and the documents incorporated by reference in this prospectus and any prospectus supplements, includes all material information relating to this offering. Please read carefully both this prospectus and any prospectus supplement together with additional information described below under “Where You Can Find More Information.”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and any applicable prospectus supplement. Neither we, nor the selling shareholder, has authorized anyone to provide you with different or additional information. If anyone provides you with different or inconsistent information, you should not rely on it. We or the selling shareholder takes no responsibility for, and can provide no assurance as to the reliability of, any other information that others may give you. The information contained in this prospectus is accurate only as of the date of this prospectus, regardless of the time of delivery of this prospectus or any sale of securities described in this prospectus. This prospectus is not an offer to sell these securities and it is not soliciting an offer to buy these securities in any jurisdiction where the offer or sale is not permitted.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and the accompanying prospectus supplement is accurate on any date subsequent to the date set forth on the front of the document or that any information that we have incorporated by reference is correct on any date subsequent to the date of the document incorporated by reference. Our business, financial condition, results of operations and prospects may have changed since those dates.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14" w:name="a_002"/>
      <w:bookmarkEnd w:id="14"/>
      <w:r>
        <w:rPr>
          <w:rFonts w:ascii="Times New Roman;Times;Serif" w:hAnsi="Times New Roman;Times;Serif"/>
          <w:b/>
          <w:i w:val="false"/>
          <w:caps w:val="false"/>
          <w:smallCaps w:val="false"/>
          <w:sz w:val="20"/>
          <w:bdr w:val="single" w:sz="12" w:space="1" w:color="000000"/>
        </w:rPr>
        <w:t>PROSPECTUS SUMMARY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but not limited to, our annual reports on Form 20-F and our other reports. Unless the context otherwise requires, the terms “we,” “our,” “us,” “our company,” the “Company,” and similar references in this prospectus each refer to SOLOWIN HOLDINGS, an exempted limited liability company incorporated in the Cayman Islands and its consolidated HK Subsidiaries.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Company Overview</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Solowin is an exempted limited liability company incorporated under the laws of the Cayman Islands on July 23, 2021. As a holding company with no material operations of its own, Solowin currently conducts its operations primarily through its wholly owned subsidiaries, Solomon JFZ and Solomon Wealth, each a limited liability corporation incorporated in Hong Kong. See “</w:t>
      </w:r>
      <w:r>
        <w:rPr>
          <w:rFonts w:ascii="Times New Roman;Times;Serif" w:hAnsi="Times New Roman;Times;Serif"/>
          <w:b w:val="false"/>
          <w:i/>
          <w:caps w:val="false"/>
          <w:smallCaps w:val="false"/>
          <w:sz w:val="20"/>
          <w:bdr w:val="single" w:sz="12" w:space="1" w:color="000000"/>
        </w:rPr>
        <w:t>Our Corporate History and Structure</w:t>
      </w:r>
      <w:r>
        <w:rPr>
          <w:rFonts w:ascii="Times New Roman;Times;Serif" w:hAnsi="Times New Roman;Times;Serif"/>
          <w:b w:val="false"/>
          <w:i w:val="false"/>
          <w:caps w:val="false"/>
          <w:smallCaps w:val="false"/>
          <w:sz w:val="20"/>
          <w:bdr w:val="single" w:sz="12" w:space="1" w:color="000000"/>
        </w:rPr>
        <w:t>” below for more information of our corporate structure. Our total revenue was $4,291,000 for the fiscal year ended March 31, 2024, representing a decrease of $162,000, or 4% from $4,453,000 for the fiscal year ended March 31, 2023. The decrease in revenue was mainly driven by a decrease in revenue from corporate consultancy services. We recorded loss from operations of $4,433,000 for the fiscal year ended March 31, 2024, compared to income from operations of $1,288,000 for the fiscal year ended March 31, 2023, a decrease of $5,721,000 or 444%.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Solomon JFZ, one of our HK Subsidiaries, is one of the few Chinese investor-focused, versatile securities brokerage companies in Hong Kong and it offers a wide spectrum of products and services, spanning from traditional assets to virtual assets through its advanced and secured one-stop electronic platform. Solomon JFZ currently is primarily engaged in providing (i) securities related services, (ii) investment advisory services, (iii) corporate consultancy services and (iv) asset management services to customers. It is licensed with the HKSFC and a participant of the Hong Kong Stock Exchange to carry out regulated activities including Type 1 (Dealing in Securities), Type 4 (Advising on Securities), Type 6 (Advising on Corporate Finance) and Type 9 (Asset Management). Solomon JFZ strictly follows the requirements of the HKSFC for internal regulation and risk control to maximize the safety of investors’ assets. It provides online account opening and trading services via its Front Trading and Back-office Clearing systems, in conjunction with </w:t>
      </w:r>
      <w:r>
        <w:rPr>
          <w:rFonts w:ascii="Times New Roman;Times;Serif" w:hAnsi="Times New Roman;Times;Serif"/>
          <w:b w:val="false"/>
          <w:i/>
          <w:caps w:val="false"/>
          <w:smallCaps w:val="false"/>
          <w:sz w:val="20"/>
          <w:bdr w:val="single" w:sz="12" w:space="1" w:color="000000"/>
        </w:rPr>
        <w:t>Solomon VA+ (</w:t>
      </w:r>
      <w:r>
        <w:rPr>
          <w:rFonts w:ascii="Times New Roman;Times;Serif" w:hAnsi="Times New Roman;Times;Serif"/>
          <w:b w:val="false"/>
          <w:i w:val="false"/>
          <w:caps w:val="false"/>
          <w:smallCaps w:val="false"/>
          <w:sz w:val="20"/>
          <w:bdr w:val="single" w:sz="12" w:space="1" w:color="000000"/>
        </w:rPr>
        <w:t>– a highly integrated application accessible via any mobile device, tablet, or desktop, all of which are licensed from third parties. With strong financial and technical capabilities, Solomon JFZ has been providing brokerage services to global Chinese investors residing both inside and outside the PRC and institutional investors in Hong Kong and has been recognized and appreciated by users and industry professionals.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Solomon JFZ’s trading platform allows investors to trade over 10,000 listed securities and their derivative products listed on the Hong Kong Stock Exchange (HKSE), New York Stock Exchange (NYSE), Nasdaq, Shanghai Stock Exchange and Shenzhen Stock Exchange. In addition, it provides Hong Kong IPO underwriting, Hong Kong IPO Public Offer application and International Placing subscription, Hong Kong IPO margin financing services, Hong Kong Pre-IPO securities trading and US IPO subscription. Hong Kong IPO margin financing services refer to loans offered by a licensed financial institution to clients for the purpose of purchasing securities in an IPO before the issuers are listed on the Hong Kong Stock Exchange. The loan, commonly referred to as an IPO loan, enables clients to invest more than the required deposit of 5% or 10% of funds. The loan, which is short-term and interest-bearing, typically covers 90% or 95% of the investment amount and is repaid right after the allotment result release. Once the investor is allotted shares costing over the required deposit and a part of loan is used for the shares, the shares can be sold and the proceeds are utilized to repay the loan of the financial institution, with any remaining balance going to the investor. Our customers may also use Solomon JFZ’s platforms to trade various listed financial products, such as ETFs, Warrants and Callable Bull/Bear Contracts. Besides securities related service, Solomon JFZ also offers asset management services as an investment manager. Our High-Net-Worth customers may also subscribe to private fund products through Solomon JFZ.</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clients are mostly Chinese investors residing in Asia as well as institutional clients in Hong Kong, Australia and New Zealand. We classify those who have registered on Solomon JFZ’s platform as users and the users who have opened accounts on Solomon JFZ’s platform as clients. As of March 31, 2024, we had more than 15,500 clients who had opened trading accounts with Solomon JFZ and over 1,200 active clients who had assets in their trading accounts.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March 31, 2024, Solomon JFZ’s operations mainly consisted of four business segments: (i) securities related services, (ii) investment advisory services, (iii) corporate consultancy services and (iv) asset management services to customers.  The following summary describes the products and services offered in each of the reportable segments: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b/>
                <w:i/>
                <w:sz w:val="20"/>
              </w:rPr>
              <w:t xml:space="preserve">Securities Related Services. </w:t>
            </w:r>
            <w:r>
              <w:rPr>
                <w:sz w:val="20"/>
              </w:rPr>
              <w:t xml:space="preserve">We always believe that our clients deserve a more convenient and reliable way to invest and manage their money, and Solomon JFZ uses advanced Internet technology to provide investors with faster brokerage services. Solomon JFZ provides securities related services through </w:t>
            </w:r>
            <w:r>
              <w:rPr>
                <w:i/>
                <w:sz w:val="20"/>
              </w:rPr>
              <w:t>Solomon VA+</w:t>
            </w:r>
            <w:r>
              <w:rPr>
                <w:sz w:val="20"/>
              </w:rPr>
              <w:t>. Its professional securities brokerage network offers the clients access to multiple stock exchanges, including the HKSE, NYSE, Nasdaq, Shanghai Stock Exchange and Shenzhen Stock Exchange. It provides HKSE securities trading, IPO subscription and placement services, bond trading, fund subscription, equity custodian and agent services, investment immigrant account management services, enterprise employee shareholding exercise services, professional investment research services, and instant quotation service. Solomon JFZ charges brokerage commission fees to clients for trades made using its trading platform based on the transaction amount, subject to a minimum charge per transaction. To better serve the individual needs of the clients, Solomon JFZ may vary the commissions it charges based on the types of products or services, eligibility for discounts and other factors. For fund subscription, it charges clients with the fund subscription fee based on the subscription amount. Solomon JFZ also offers stock custodian and nominee services to the clients as ancillary services to securities related services. For the fiscal years ended March 31, 2024, 2023 and 2022, the securities related services segment accounted for 10%, 14% and 68% of our consolidated revenues, respectively.</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b/>
                <w:i/>
                <w:sz w:val="20"/>
              </w:rPr>
              <w:t>Investment Advisory Services</w:t>
            </w:r>
            <w:r>
              <w:rPr>
                <w:sz w:val="20"/>
              </w:rPr>
              <w:t>. Solomon JFZ provides timely, accurate and valuable investment solutions advisory services for our clients, through a team consisting of financial analysts, experienced financial advisors and investment managers. It provides investment advice to our clients based on their financial needs and risk appetite, and Solomon JFZ charges them an investment advisory fee based on a percentage of the AUM. For the fiscal years ended March 31, 2024, 2023 and 2022, the investment advisory services segment accounted for 67%, 56% and 22% of our consolidated revenues, respectively.</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b/>
                <w:i/>
                <w:sz w:val="20"/>
              </w:rPr>
              <w:t>Corporate Consultancy Services</w:t>
            </w:r>
            <w:r>
              <w:rPr>
                <w:sz w:val="20"/>
              </w:rPr>
              <w:t>. Solomon JFZ possesses the licenses issued by HKSFC to carry out regulated activities under Type 6 Advising on Corporate Finance. Type 6 license allows brokers to conduct activities relating to (i) acting as a sponsor of a listing applicant in an initial public offering; (ii) advising on the code on takeovers and mergers and share repurchases; and (iii) advising listed companies on the HKSE Listing Rules. Although Solomon JFZ Type 6 licensing condition restricts Solomon JFZ from acting as a sponsor of a listing applicant in an initial public offering and advising on the code on takeovers and mergers and share repurchase, it can conduct businesses related to (iii) above. It provides financial and independent financial advisory services for unlisted and listed companies that are looking for high-quality and value-added corporate finance advisory services at reasonable costs. Solomon JFZ acts as financial adviser to its corporate clients advising them on the terms and structures of proposed transactions and the relevant implications and compliance matters under the HKSE Listing Rules (including the Main Board and the Growth Enterprise Market “GEM”). In addition, it acts as independent financial adviser giving opinions to the independent board committee and independent shareholders of listed companies in Hong Kong. Solomon JFZ charges them advisory fees according to the type and size of the transaction, duration of the engagement, complexity of the transaction and the expected manpower requirements.  For the fiscal years ended March 31, 2024, 2023 and 2022, the corporate consultancy services segment accounted for 3%, 21% and 0% of our consolidated revenues, respectively.</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b/>
                <w:i/>
                <w:sz w:val="20"/>
              </w:rPr>
              <w:t>Asset Management Services</w:t>
            </w:r>
            <w:r>
              <w:rPr>
                <w:sz w:val="20"/>
              </w:rPr>
              <w:t>. Our asset management team specializes in designing investment portfolios to meet the needs of investors with different risk appetite and to preserve and enhance the value of their assets. Solomon JFZ provides asset management services by applying different investment strategies to optimize their asset allocation. Solomon JFZ offers its own Fund products to professional investors, which are run by professional portfolio managers. It has entered into agreements with regulated financial institutions to provide services covering a broad range of products such as stocks, bonds, indexes, futures, and fund of funds. It issues and manages various fund products according to market trends and demand conditions. At this stage, Solomon JFZ focuses on developing active traditional private equity funds, such as balanced funds and equity funds, and plans to develop a more diversified product line as part of our long-term growth initiative. Solomon JFZ charges a management fee of 2% according to the AUM. In addition, it charges performance fees subject to high water marks. For the fiscal years ended March 31, 2024, 2023 and 2022, the asset management services segment accounted for 20%, 9% and 10% of our consolidated revenues, respectively.</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Recent Developments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14, 2024, the Company announced its strategic expansion into the private wealth management business under its newly formed Hong Kong subsidiary, Solomon Wealth, which was incorporated on December 4, 2023. We expect to serve a broad range of high-net-worth individuals, family offices, and trusts, by offering wealth management services and solutions that span traditional and virtual asset classes. We are optimistic about Solomon Wealth’s future and its role in Solowin’s growth strategy. By emphasizing quality over speed, we aim to provide excellent value to our clients and gain a strong position in the private wealth management sector. We endeavor to find high net worth clients who share our vision and focus on building a strong foundation to develop high quality services. Notwithstanding, the early stage of client acquisition is crucial for our long-term success. We believe our efforts will lead to a solid client base and future revenue. As of the date of March 31, 2024, Solomon Wealth had not generated any revenue.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5, 2024, Solowin entered into a membership interest purchase agreement with Cambria Capital, LLC (“Cambria Capital”), a Utah limited liability company and broker-dealer registered with the Financial Industry Regulatory Authority (“FINRA”), and Cambria Asset Management, Inc., a Nevada corporation, the sole owner of the Cambria Capital. Pursuant to the agreement, Solowin will purchase 100% of the membership interests in Cambria Capital for a total purchase price of $700,000. The transaction will be completed through two closings, the first of which consists of the payment of $200,000 in exchange for an acquisition of 24.9% of Cambria Capital’s membership interests. The parties have closed the acquisition of the 24.9% interest and are working on a continuing membership application requesting approval for a change of ownership, control, or business operations to be filed with FINRA in accordance with FINRA Rule 1017 (the “Rule 1017 Application”). In the event that FINRA approves the Rule 1017 Application and Cambrian Capital’s application to conduct firm commitment underwritten offerings, Solowin will have the right to consummate the second closing, pursuant to which Solowin will pay $500,000 in exchange for the remaining 75.1% of the membership interests in Cambria Capital. In the event of termination of this agreement by any party, after the initial closing but prior to the second closing, due to the second closing failing to occur by December 31, 2024, Solowin has the right to sell the 24.9% interest back to the seller at a discounted price of $100,000 within five business days after the termination.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to providing services related to traditional assets, Solomon JFZ had been approved by the HKSFC to provide virtual asset dealing services and advisory services as of March 25, 2024. Virtual assets related services are subject to a new regulatory framework in Hong Kong. Solomon JFZ has been among the initial group of HKSFC approved licensed companies to provide virtual assets trading and advisory services to retail investors.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16, 2024, the Company announced that Solomon JFZ has been selected as one of the three participating dealers for Harvest Global’s spot Bitcoin and Ethereum ETF in Hong Kong, Amoun the same period, Solomon JFZ enter into participation agreement with Harvest Global Investments Limited (“Harvest Global”) and China Asset Management (Hong Kong) Limited (“China AMC”) as the participating dealer for the VA spot ETFs. Solomon JFZ has become the largest holder of customer assets in the ChinaAMC Bitcoin ETF (HKEX: 9042), ChinaAMC Ethereum ETF (HKEX: 9046), and Harvest Bitcoin Spot ETF (HKEX: 3439). Solomon is also among the top holders of ChinaAMC Bitcoin ETF (HKEX: 3042) and ChinaAMC Ethereum ETF (HKEX: 3046).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26, 2024, the Company announced that it strengthened its partnership with OSL Digital Securities (“OSL”), the digital asset platform of OSL Group (863.HK), which is Hong Kong’s only publicly listed company fully dedicated to digital assets, to facilitate the in-kind subscription and redemption processes. In addition, Solomon JFZ has been among the first group of HKSFC approved participating dealers of in-kind subscription and redemption for spot virtual asset ETFs in Hong Kong, enabling investors to subscribe to or redeem ETF shares directly with the underlying digital assets.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28, 2024, the Company announced a strategic partnership with MaiCapital Limited (“MaiCapital”), a leading virtual assets investment manager in Hong Kong, to expand virtual asset allocation opportunities. MaiCapital is licensed to manage funds that may comprise up to 100% virtual assets which directly complements Solomon’s licensing for the trading of virtual assets.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16, 2024, the Company announced the launch of Solomon VA+, an institutional-grade all-in-one smart trading app, which is innovatively upgraded from the former one-stop electronic platform, Solomon Win. Solomon VA+ offers integrated financial services infrastructure designed to meet the evolving needs of next-generation and high-net-worth investors, which is the first all in one app in Hong Kong that combining traditional assets trading, virtual assets trading and wealth management services into one app, marking a significant industry development. The Solomon VA+ trading platform offers various virtual assets trading to professional investors and Bitcoin and Ethereum to retail investors, supporting clients with in-kind subscription of Bitcoin spot ETF and Ethereum spot ETF. Clients are also expected to deposit &amp; withdraw the cryptocurrencies via the APP within a short period, realizing a comprehensive allocation of traditional financial and virtual assets.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March 31, 2024, our virtual assets services have not generated any revenue. We kept actively collaborating with prominent players in the virtual asset market, nurturing positive relationships with them. Leveraging these partnerships, we are poised to expand our own business and provide comprehensive services. Solomon JFZ’s virtual assets services are expected to build large trading volumes and an exponential client assets base for Solomon JFZ in the near future.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With the recent development of the company and the expanding subsidiaries, our vision is to build an integrated financial services infrastructure for next generation investors, and our continuous efforts focus on being a one-stop comprehensive financial services provider. The business segment of the company has expanded into four new business segments: (i) investment banking services, (ii) wealth management services, (iii) asset management services and (iv) virtual assets services to customers. The following summary describes the products and services offered in each of the reportable segments: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b/>
                <w:i/>
                <w:sz w:val="20"/>
              </w:rPr>
              <w:t xml:space="preserve">Investment Banking Services. </w:t>
            </w:r>
            <w:r>
              <w:rPr>
                <w:sz w:val="20"/>
              </w:rPr>
              <w:t>We are redefining investment banking by offering underwriting, private placement and investment advisory solutions tailored to guide investors and corporates through complex financial landscapes, ensuring transactions are executed with strategic insight that meets today’s capital market’s needs. Our investment banking services include capital raising, debt financing, secondary offerings and financial advisory services, which covers the former segments (ii) investment advisory services, (iii) corporate consultancy services.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b/>
                <w:i/>
                <w:sz w:val="20"/>
              </w:rPr>
              <w:t>Wealth Management Services</w:t>
            </w:r>
            <w:r>
              <w:rPr>
                <w:sz w:val="20"/>
              </w:rPr>
              <w:t>. Our wealth management division is dedicated to empowering investors with a comprehensive suite of services designed to manage, retain, and grow wealth with confidence. Our offerings are split into two main categories: Brokerage Services and Integrated Investment Solutions. The Integrated Investment Solutions covers the former segment (i) securities related services, by adding advisory services for high-net-worth individuals and institutional investors such as family offices and trusts.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b/>
                <w:i/>
                <w:sz w:val="20"/>
              </w:rPr>
              <w:t>Asset Management Services</w:t>
            </w:r>
            <w:r>
              <w:rPr>
                <w:sz w:val="20"/>
              </w:rPr>
              <w:t>. Our asset management services are crafted to meet the diverse investment goals of our clients through a broad range of asset classes and investment strategies. By expanding services from the former segment (iv) asset management services, our current asset management services offer investment funds, managed accounts, and external asset management, each designed to optimize clients’ portfolio’s performance.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b/>
                <w:i/>
                <w:sz w:val="20"/>
              </w:rPr>
              <w:t>Virtual Assets Services</w:t>
            </w:r>
            <w:r>
              <w:rPr>
                <w:sz w:val="20"/>
              </w:rPr>
              <w:t>. We are providing secure and innovative solutions in the virtual asset space including virtual assets trading, virtual assets spot ETFs creation and redemption, security token offerings, and blockchain solutions such as real-world assets tokenization. Solomon JFZ had been approved by the HKSFC to provide virtual asset dealing services and advisory services, and we are at the forefront of offering cutting-edge Web3 solutions that cater to the needs of modern investors and businesses, leveraging blockchain for secure and innovative virtual asset solutions.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History and Structure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Solowin is a holding company incorporated in the Cayman Islands without material operations of its own. Solomon JFZ was established under the Hong Kong laws on July 25, 2016. Solomon JFZ does not have any subsidiaries.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From July 2021 to October 2022, we carried out a series of transactions to reorganize our corporate structure. As part of the reorganization, Solowin was incorporated as an exempted company under the laws of Cayman Islands on July 23, 2021.</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Upon incorporation on July 23, 2021, one ordinary share, par value $1 per share, of Solowin was allotted and issued to Ogier Global Subscriber (Cayman) Limited, who transferred the share to Ling Ngai Lok on July 27, 2021. On the same day, Solowin issued an additional 49,999 Ordinary Shares, par value $1 per share, to Ling Ngai Lok. On June 9, 2022, in anticipation of a share exchange transaction among Solowin, Solomon JFZ and Master Venus Limited, the then sole shareholder of Solomon JFZ, Ling Ngai Lok transferred (i) 17,000 Ordinary Shares to Gemini Asia Holdings Limited; (ii) 16,500 Ordinary Shares to FORTUNE DYNASTY GLOBAL LIMITED and (iii) 16,500 Ordinary Shares to Vulcan Worldwide Holdings Limited. On October 17, 2022, Solowin, Solomon JFZ and Master Venus Limited completed the share exchange transaction, in which Master Venus Limited transferred 100% ownership of Solomon JFZ to Solowin. Master Venus Limited was then owned by three shareholders, Gemini Asia Holdings Limited, FORTUNE DYNASTY GLOBAL LIMITED and Vulcan Worldwide Holdings Limited. As a result of the above series of reorganization transactions, Solomon JFZ became the wholly-owned subsidiary of Solowin and the shareholders of Master Venus Limited became the owners of 100% of the then outstanding Ordinary Shares of Solowin.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7, 2022, (i) each of the existing issued and unissued shares of par value of $1.00 each of Solowin was subdivided into 10,000 shares of par value of $0.0001 each of Solowin; and (ii) the authorized share capital of Solowin was increased to $100,000 divided into 1,000,000,000 shares of $0.0001 each. On the same day, each of Gemini Asia Holdings Limited, FORTUNE DYNASTY GLOBAL LIMITED and Vulcan Worldwide Holdings Limited surrendered 165,920,000 Ordinary Shares, 161,040,000 Ordinary Shares and 161,040,000 Ordinary Shares, respectively, each of a par value of $0.0001 per share, to Solowin. As a result of the above surrenders, each of Gemini Asia Holdings Limited, FORTUNE DYNASTY GLOBAL LIMITED and Vulcan Worldwide Holdings Limited held 4,080,000 Ordinary Shares, 3,960,000 Ordinary Shares and 3,960,000 Ordinary Shares, respectively, each of a par value of $0.0001 per share.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September 8, 2023, we completed our initial public offering and issued and sold 2,000,000 Ordinary Shares.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4, 2023, as a part of our strategic expansion into the private wealth management business, Solowin formed a new wholly owned subsidiary, Solomon Wealth, under the laws of Hong Kong.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5, 2024, Solowin entered into a membership interest purchase agreement with Cambria Capital and Cambria Asset Management, Inc., pursuant to which Solowin will purchase 100% of the membership interests in Cambria Capital for a total purchase price of $700,000. As of the date of this prospectus, Solowin owns 24.9% of Cambria Capital.</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Regulatory Permissions to Operate Business and for the Offering of Securities to Foreign Investors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Save as disclosed below, other than those requisite for a domestic company in Hong Kong engaged in the same business, we are not required to obtain any additional permission from any Hong Kong authorities.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Save as disclosed below, as of the date of this prospectus, HK Subsidiaries have received from Hong Kong authorities all requisite licenses, permissions or approvals needed to engage in the businesses currently conducted by them in Hong Kong, and no permission or approval has been denied. Such licenses and permissions include Type 1 license (dealing in securities), Type 4 license (Advising on securities), Type 6 license (advising on corporate finance) and Type 9 license (Asset management). The following table summarizes the licenses and permissions held by our HK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28" w:type="dxa"/>
          <w:right w:w="0" w:type="dxa"/>
        </w:tblCellMar>
      </w:tblPr>
      <w:tblGrid>
        <w:gridCol w:w="1065"/>
        <w:gridCol w:w="60"/>
        <w:gridCol w:w="1490"/>
        <w:gridCol w:w="60"/>
        <w:gridCol w:w="1430"/>
        <w:gridCol w:w="60"/>
        <w:gridCol w:w="923"/>
        <w:gridCol w:w="60"/>
        <w:gridCol w:w="5057"/>
      </w:tblGrid>
      <w:tr>
        <w:trPr/>
        <w:tc>
          <w:tcPr>
            <w:tcW w:w="1065"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License/Permit</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12" w:space="0" w:color="000000"/>
            </w:tcBorders>
            <w:vAlign w:val="center"/>
          </w:tcPr>
          <w:p>
            <w:pPr>
              <w:pStyle w:val="TableContents"/>
              <w:bidi w:val="0"/>
              <w:spacing w:before="0" w:after="283"/>
              <w:jc w:val="center"/>
              <w:rPr>
                <w:b/>
                <w:sz w:val="20"/>
              </w:rPr>
            </w:pPr>
            <w:r>
              <w:rPr>
                <w:b/>
                <w:sz w:val="20"/>
              </w:rPr>
              <w:t>Issuing Authority</w:t>
            </w:r>
          </w:p>
        </w:tc>
        <w:tc>
          <w:tcPr>
            <w:tcW w:w="60" w:type="dxa"/>
            <w:tcBorders/>
            <w:tcMar>
              <w:bottom w:w="0" w:type="dxa"/>
            </w:tcMar>
            <w:vAlign w:val="center"/>
          </w:tcPr>
          <w:p>
            <w:pPr>
              <w:pStyle w:val="TableContents"/>
              <w:bidi w:val="0"/>
              <w:spacing w:before="0" w:after="283"/>
              <w:jc w:val="left"/>
              <w:rPr/>
            </w:pPr>
            <w:r>
              <w:rPr/>
              <w:t> </w:t>
            </w:r>
          </w:p>
        </w:tc>
        <w:tc>
          <w:tcPr>
            <w:tcW w:w="1430" w:type="dxa"/>
            <w:tcBorders>
              <w:bottom w:val="single" w:sz="12" w:space="0" w:color="000000"/>
            </w:tcBorders>
            <w:vAlign w:val="center"/>
          </w:tcPr>
          <w:p>
            <w:pPr>
              <w:pStyle w:val="TableContents"/>
              <w:bidi w:val="0"/>
              <w:spacing w:before="0" w:after="283"/>
              <w:jc w:val="center"/>
              <w:rPr>
                <w:b/>
                <w:sz w:val="20"/>
              </w:rPr>
            </w:pPr>
            <w:r>
              <w:rPr>
                <w:b/>
                <w:sz w:val="20"/>
              </w:rPr>
              <w:t xml:space="preserve">Issuance Date </w:t>
            </w:r>
          </w:p>
        </w:tc>
        <w:tc>
          <w:tcPr>
            <w:tcW w:w="60" w:type="dxa"/>
            <w:tcBorders/>
            <w:tcMar>
              <w:bottom w:w="0" w:type="dxa"/>
            </w:tcMar>
            <w:vAlign w:val="center"/>
          </w:tcPr>
          <w:p>
            <w:pPr>
              <w:pStyle w:val="TableContents"/>
              <w:bidi w:val="0"/>
              <w:spacing w:before="0" w:after="283"/>
              <w:jc w:val="left"/>
              <w:rPr/>
            </w:pPr>
            <w:r>
              <w:rPr/>
              <w:t> </w:t>
            </w:r>
          </w:p>
        </w:tc>
        <w:tc>
          <w:tcPr>
            <w:tcW w:w="923" w:type="dxa"/>
            <w:tcBorders>
              <w:bottom w:val="single" w:sz="12" w:space="0" w:color="000000"/>
            </w:tcBorders>
            <w:vAlign w:val="center"/>
          </w:tcPr>
          <w:p>
            <w:pPr>
              <w:pStyle w:val="TableContents"/>
              <w:bidi w:val="0"/>
              <w:spacing w:before="0" w:after="283"/>
              <w:jc w:val="center"/>
              <w:rPr>
                <w:b/>
                <w:sz w:val="20"/>
              </w:rPr>
            </w:pPr>
            <w:r>
              <w:rPr>
                <w:b/>
                <w:sz w:val="20"/>
              </w:rPr>
              <w:t xml:space="preserve">Term </w:t>
            </w:r>
          </w:p>
        </w:tc>
        <w:tc>
          <w:tcPr>
            <w:tcW w:w="60" w:type="dxa"/>
            <w:tcBorders/>
            <w:tcMar>
              <w:bottom w:w="0" w:type="dxa"/>
            </w:tcMar>
            <w:vAlign w:val="center"/>
          </w:tcPr>
          <w:p>
            <w:pPr>
              <w:pStyle w:val="TableContents"/>
              <w:bidi w:val="0"/>
              <w:spacing w:before="0" w:after="283"/>
              <w:jc w:val="left"/>
              <w:rPr/>
            </w:pPr>
            <w:r>
              <w:rPr/>
              <w:t> </w:t>
            </w:r>
          </w:p>
        </w:tc>
        <w:tc>
          <w:tcPr>
            <w:tcW w:w="5057" w:type="dxa"/>
            <w:tcBorders>
              <w:bottom w:val="single" w:sz="12" w:space="0" w:color="000000"/>
            </w:tcBorders>
            <w:vAlign w:val="center"/>
          </w:tcPr>
          <w:p>
            <w:pPr>
              <w:pStyle w:val="TableContents"/>
              <w:bidi w:val="0"/>
              <w:spacing w:before="0" w:after="283"/>
              <w:ind w:left="0" w:right="0" w:hanging="180"/>
              <w:jc w:val="center"/>
              <w:rPr>
                <w:b/>
                <w:sz w:val="20"/>
              </w:rPr>
            </w:pPr>
            <w:r>
              <w:rPr>
                <w:b/>
                <w:sz w:val="20"/>
              </w:rPr>
              <w:t>Restrictions</w:t>
            </w:r>
          </w:p>
        </w:tc>
      </w:tr>
      <w:tr>
        <w:trPr/>
        <w:tc>
          <w:tcPr>
            <w:tcW w:w="1065" w:type="dxa"/>
            <w:tcBorders/>
            <w:shd w:fill="CCEEFF" w:val="clear"/>
            <w:tcMar>
              <w:bottom w:w="0" w:type="dxa"/>
            </w:tcMar>
            <w:vAlign w:val="center"/>
          </w:tcPr>
          <w:p>
            <w:pPr>
              <w:pStyle w:val="TableContents"/>
              <w:bidi w:val="0"/>
              <w:spacing w:before="0" w:after="283"/>
              <w:jc w:val="left"/>
              <w:rPr>
                <w:sz w:val="20"/>
              </w:rPr>
            </w:pPr>
            <w:r>
              <w:rPr>
                <w:sz w:val="20"/>
              </w:rPr>
              <w:t>Type 1 license (dealing in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sz w:val="20"/>
              </w:rPr>
            </w:pPr>
            <w:r>
              <w:rPr>
                <w:sz w:val="20"/>
              </w:rPr>
              <w:t>HKSFC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left"/>
              <w:rPr>
                <w:sz w:val="20"/>
              </w:rPr>
            </w:pPr>
            <w:r>
              <w:rPr>
                <w:sz w:val="20"/>
              </w:rPr>
              <w:t>January 10,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 w:type="dxa"/>
            <w:tcBorders/>
            <w:shd w:fill="CCEEFF" w:val="clear"/>
            <w:tcMar>
              <w:bottom w:w="0" w:type="dxa"/>
            </w:tcMar>
            <w:vAlign w:val="center"/>
          </w:tcPr>
          <w:p>
            <w:pPr>
              <w:pStyle w:val="TableContents"/>
              <w:bidi w:val="0"/>
              <w:spacing w:before="0" w:after="283"/>
              <w:jc w:val="left"/>
              <w:rPr>
                <w:sz w:val="20"/>
              </w:rPr>
            </w:pPr>
            <w:r>
              <w:rPr>
                <w:sz w:val="20"/>
              </w:rPr>
              <w:t>No expiration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7"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0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7"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065" w:type="dxa"/>
            <w:tcBorders/>
            <w:shd w:fill="CCEEFF" w:val="clear"/>
            <w:tcMar>
              <w:bottom w:w="0" w:type="dxa"/>
            </w:tcMar>
            <w:vAlign w:val="center"/>
          </w:tcPr>
          <w:p>
            <w:pPr>
              <w:pStyle w:val="TableContents"/>
              <w:bidi w:val="0"/>
              <w:spacing w:before="0" w:after="283"/>
              <w:jc w:val="left"/>
              <w:rPr>
                <w:sz w:val="20"/>
              </w:rPr>
            </w:pPr>
            <w:r>
              <w:rPr>
                <w:sz w:val="20"/>
              </w:rPr>
              <w:t>(virtual asset dealing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left"/>
              <w:rPr>
                <w:sz w:val="20"/>
              </w:rPr>
            </w:pPr>
            <w:r>
              <w:rPr>
                <w:sz w:val="20"/>
              </w:rPr>
              <w:t>Mar 25,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 w:type="dxa"/>
            <w:tcBorders/>
            <w:shd w:fill="CCEEFF" w:val="clear"/>
            <w:tcMar>
              <w:bottom w:w="0" w:type="dxa"/>
            </w:tcMar>
            <w:vAlign w:val="center"/>
          </w:tcPr>
          <w:p>
            <w:pPr>
              <w:pStyle w:val="TableContents"/>
              <w:bidi w:val="0"/>
              <w:spacing w:before="0" w:after="283"/>
              <w:jc w:val="left"/>
              <w:rPr>
                <w:sz w:val="20"/>
              </w:rPr>
            </w:pPr>
            <w:r>
              <w:rPr>
                <w:sz w:val="20"/>
              </w:rPr>
              <w:t>No expiration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7"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providing virtual asset dealing services, the licensee or registered institution shall comply with the “Terms and conditions for licensed corporations or registered institutions providing virtual asset dealing services under an omnibus account arrangement” (as amended from time to time). The term “virtual asset” is defined in section 53ZRA of the Anti-Money Laundering and Counter-Terrorist Financing Ordinance.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providing virtual asset dealing services, the licensee or registered institution shall only provide such services to persons which are, and remain at all times, its clients in respect of its business in Type 1 regulated activity (dealing in securities). The term “dealing in securities” is specified in Part 2 of Schedule 5 to the Securities and Futures Ordinance. The term “virtual asset” is defined in section 53ZRA of the Anti-Money Laundering and Counter-Terrorist Financing Ordinance.</w:t>
            </w:r>
          </w:p>
        </w:tc>
      </w:tr>
      <w:tr>
        <w:trPr/>
        <w:tc>
          <w:tcPr>
            <w:tcW w:w="10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57"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065" w:type="dxa"/>
            <w:tcBorders/>
            <w:shd w:fill="CCEEFF" w:val="clear"/>
            <w:tcMar>
              <w:bottom w:w="0" w:type="dxa"/>
            </w:tcMar>
            <w:vAlign w:val="center"/>
          </w:tcPr>
          <w:p>
            <w:pPr>
              <w:pStyle w:val="TableContents"/>
              <w:bidi w:val="0"/>
              <w:spacing w:before="0" w:after="283"/>
              <w:jc w:val="left"/>
              <w:rPr>
                <w:sz w:val="20"/>
              </w:rPr>
            </w:pPr>
            <w:r>
              <w:rPr>
                <w:sz w:val="20"/>
              </w:rPr>
              <w:t>Type 4 license (Advising on securities)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sz w:val="20"/>
              </w:rPr>
            </w:pPr>
            <w:r>
              <w:rPr>
                <w:sz w:val="20"/>
              </w:rPr>
              <w:t>HKSFC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0" w:type="dxa"/>
            <w:tcBorders/>
            <w:shd w:fill="CCEEFF" w:val="clear"/>
            <w:tcMar>
              <w:bottom w:w="0" w:type="dxa"/>
            </w:tcMar>
            <w:vAlign w:val="center"/>
          </w:tcPr>
          <w:p>
            <w:pPr>
              <w:pStyle w:val="TableContents"/>
              <w:bidi w:val="0"/>
              <w:spacing w:before="0" w:after="283"/>
              <w:jc w:val="left"/>
              <w:rPr>
                <w:sz w:val="20"/>
              </w:rPr>
            </w:pPr>
            <w:r>
              <w:rPr>
                <w:sz w:val="20"/>
              </w:rPr>
              <w:t>October 16,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3" w:type="dxa"/>
            <w:tcBorders/>
            <w:shd w:fill="CCEEFF" w:val="clear"/>
            <w:tcMar>
              <w:bottom w:w="0" w:type="dxa"/>
            </w:tcMar>
            <w:vAlign w:val="center"/>
          </w:tcPr>
          <w:p>
            <w:pPr>
              <w:pStyle w:val="TableContents"/>
              <w:bidi w:val="0"/>
              <w:spacing w:before="0" w:after="283"/>
              <w:jc w:val="left"/>
              <w:rPr>
                <w:sz w:val="20"/>
              </w:rPr>
            </w:pPr>
            <w:r>
              <w:rPr>
                <w:sz w:val="20"/>
              </w:rPr>
              <w:t>No expiration date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5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bdr w:val="single" w:sz="12" w:space="1" w:color="000000"/>
        </w:rPr>
      </w:pPr>
      <w:r>
        <w:rPr>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394"/>
        <w:gridCol w:w="60"/>
        <w:gridCol w:w="635"/>
        <w:gridCol w:w="60"/>
        <w:gridCol w:w="800"/>
        <w:gridCol w:w="60"/>
        <w:gridCol w:w="919"/>
        <w:gridCol w:w="60"/>
        <w:gridCol w:w="5217"/>
      </w:tblGrid>
      <w:tr>
        <w:trPr/>
        <w:tc>
          <w:tcPr>
            <w:tcW w:w="2394" w:type="dxa"/>
            <w:tcBorders/>
            <w:shd w:fill="CCEEFF" w:val="clear"/>
            <w:vAlign w:val="center"/>
          </w:tcPr>
          <w:p>
            <w:pPr>
              <w:pStyle w:val="TableContents"/>
              <w:bidi w:val="0"/>
              <w:spacing w:before="0" w:after="283"/>
              <w:ind w:left="0" w:right="0" w:hanging="180"/>
              <w:jc w:val="left"/>
              <w:rPr>
                <w:sz w:val="20"/>
              </w:rPr>
            </w:pPr>
            <w:r>
              <w:rPr>
                <w:sz w:val="20"/>
              </w:rPr>
              <w:t>(Virtual asset advisory services)</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20"/>
              </w:rPr>
            </w:pPr>
            <w:r>
              <w:rPr>
                <w:sz w:val="20"/>
              </w:rPr>
              <w:t>March 25, 2024</w:t>
            </w:r>
          </w:p>
        </w:tc>
        <w:tc>
          <w:tcPr>
            <w:tcW w:w="6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sz w:val="20"/>
              </w:rPr>
            </w:pPr>
            <w:r>
              <w:rPr>
                <w:sz w:val="20"/>
              </w:rPr>
              <w:t>No expiration date</w:t>
            </w:r>
          </w:p>
        </w:tc>
        <w:tc>
          <w:tcPr>
            <w:tcW w:w="60" w:type="dxa"/>
            <w:tcBorders/>
            <w:shd w:fill="CCEEFF" w:val="clear"/>
            <w:vAlign w:val="center"/>
          </w:tcPr>
          <w:p>
            <w:pPr>
              <w:pStyle w:val="TableContents"/>
              <w:bidi w:val="0"/>
              <w:spacing w:before="0" w:after="283"/>
              <w:jc w:val="left"/>
              <w:rPr/>
            </w:pPr>
            <w:r>
              <w:rPr/>
              <w:t> </w:t>
            </w:r>
          </w:p>
        </w:tc>
        <w:tc>
          <w:tcPr>
            <w:tcW w:w="5217"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providing virtual asset advisory services, the licensee or registered institution shall comply with the “Terms and conditions for licensed corporations or registered institutions providing virtual asset advisory services” (as amended from time to time). The term “virtual asset” is defined in section 53ZRA of the Anti-Money Laundering and Counter-Terrorist Financing Ordinance.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providing virtual asset advisory services, the licensee or registered institution shall only provide such services to persons which are, and remain at all times, clients of the licensed corporation or registered institution in respect of its business in Type 4 regulated activity (advising on securities). The term “advising on securities” is specified in Part 2 of Schedule 5 to the Securities and Futures Ordinance. The term “virtual asset” is defined in section 53ZRA of the Anti-Money Laundering and Counter-Terrorist Financing Ordinance. </w:t>
            </w:r>
          </w:p>
        </w:tc>
      </w:tr>
      <w:tr>
        <w:trPr/>
        <w:tc>
          <w:tcPr>
            <w:tcW w:w="2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7" w:type="dxa"/>
            <w:tcBorders/>
            <w:shd w:fill="FFFFFF" w:val="clear"/>
            <w:vAlign w:val="center"/>
          </w:tcPr>
          <w:p>
            <w:pPr>
              <w:pStyle w:val="TableContents"/>
              <w:bidi w:val="0"/>
              <w:spacing w:before="0" w:after="283"/>
              <w:ind w:left="0" w:right="0" w:hanging="180"/>
              <w:jc w:val="left"/>
              <w:rPr/>
            </w:pPr>
            <w:r>
              <w:rPr/>
              <w:t> </w:t>
            </w:r>
          </w:p>
        </w:tc>
      </w:tr>
      <w:tr>
        <w:trPr/>
        <w:tc>
          <w:tcPr>
            <w:tcW w:w="2394" w:type="dxa"/>
            <w:tcBorders/>
            <w:shd w:fill="CCEEFF" w:val="clear"/>
            <w:vAlign w:val="center"/>
          </w:tcPr>
          <w:p>
            <w:pPr>
              <w:pStyle w:val="TableContents"/>
              <w:bidi w:val="0"/>
              <w:spacing w:before="0" w:after="283"/>
              <w:jc w:val="left"/>
              <w:rPr>
                <w:sz w:val="20"/>
              </w:rPr>
            </w:pPr>
            <w:r>
              <w:rPr>
                <w:sz w:val="20"/>
              </w:rPr>
              <w:t>Type 6 license (advising on corporate finance, excluding acting as a sponsor of a listing applicant in an initial public offering or advising on the code on takeovers and mergers and share repurchases)</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sz w:val="20"/>
              </w:rPr>
            </w:pPr>
            <w:r>
              <w:rPr>
                <w:sz w:val="20"/>
              </w:rPr>
              <w:t>HKSFC</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20"/>
              </w:rPr>
            </w:pPr>
            <w:r>
              <w:rPr>
                <w:sz w:val="20"/>
              </w:rPr>
              <w:t>May 13, 2021</w:t>
            </w:r>
          </w:p>
        </w:tc>
        <w:tc>
          <w:tcPr>
            <w:tcW w:w="6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sz w:val="20"/>
              </w:rPr>
            </w:pPr>
            <w:r>
              <w:rPr>
                <w:sz w:val="20"/>
              </w:rPr>
              <w:t>No expiration date</w:t>
            </w:r>
          </w:p>
        </w:tc>
        <w:tc>
          <w:tcPr>
            <w:tcW w:w="60" w:type="dxa"/>
            <w:tcBorders/>
            <w:shd w:fill="CCEEFF" w:val="clear"/>
            <w:vAlign w:val="center"/>
          </w:tcPr>
          <w:p>
            <w:pPr>
              <w:pStyle w:val="TableContents"/>
              <w:bidi w:val="0"/>
              <w:spacing w:before="0" w:after="283"/>
              <w:jc w:val="left"/>
              <w:rPr/>
            </w:pPr>
            <w:r>
              <w:rPr/>
              <w:t> </w:t>
            </w:r>
          </w:p>
        </w:tc>
        <w:tc>
          <w:tcPr>
            <w:tcW w:w="5217" w:type="dxa"/>
            <w:tcBorders/>
            <w:shd w:fill="CCEEFF" w:val="clear"/>
            <w:vAlign w:val="center"/>
          </w:tcPr>
          <w:p>
            <w:pPr>
              <w:pStyle w:val="TableContents"/>
              <w:bidi w:val="0"/>
              <w:spacing w:before="0" w:after="283"/>
              <w:ind w:left="0" w:right="0" w:hanging="180"/>
              <w:jc w:val="both"/>
              <w:rPr>
                <w:sz w:val="20"/>
              </w:rPr>
            </w:pPr>
            <w:r>
              <w:rPr>
                <w:sz w:val="20"/>
              </w:rPr>
              <w:t>The licensee shall not advise on matters/transactions falling within the ambit of the Codes on Takeovers and Mergers and Share Buy-backs issued by the Commission &amp; shall not act as sponsor in respect of an application for the listing on a recognized stock market of any securities</w:t>
            </w:r>
          </w:p>
        </w:tc>
      </w:tr>
      <w:tr>
        <w:trPr/>
        <w:tc>
          <w:tcPr>
            <w:tcW w:w="23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17" w:type="dxa"/>
            <w:tcBorders/>
            <w:shd w:fill="FFFFFF" w:val="clear"/>
            <w:vAlign w:val="center"/>
          </w:tcPr>
          <w:p>
            <w:pPr>
              <w:pStyle w:val="TableContents"/>
              <w:bidi w:val="0"/>
              <w:spacing w:before="0" w:after="283"/>
              <w:ind w:left="0" w:right="0" w:hanging="180"/>
              <w:jc w:val="both"/>
              <w:rPr/>
            </w:pPr>
            <w:r>
              <w:rPr/>
              <w:t> </w:t>
            </w:r>
          </w:p>
        </w:tc>
      </w:tr>
      <w:tr>
        <w:trPr/>
        <w:tc>
          <w:tcPr>
            <w:tcW w:w="2394" w:type="dxa"/>
            <w:tcBorders/>
            <w:shd w:fill="CCEEFF" w:val="clear"/>
            <w:vAlign w:val="center"/>
          </w:tcPr>
          <w:p>
            <w:pPr>
              <w:pStyle w:val="TableContents"/>
              <w:bidi w:val="0"/>
              <w:spacing w:before="0" w:after="283"/>
              <w:jc w:val="left"/>
              <w:rPr>
                <w:sz w:val="20"/>
              </w:rPr>
            </w:pPr>
            <w:r>
              <w:rPr>
                <w:sz w:val="20"/>
              </w:rPr>
              <w:t>Type 9 license (Asset management)</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sz w:val="20"/>
              </w:rPr>
            </w:pPr>
            <w:r>
              <w:rPr>
                <w:sz w:val="20"/>
              </w:rPr>
              <w:t>HKSFC</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20"/>
              </w:rPr>
            </w:pPr>
            <w:r>
              <w:rPr>
                <w:sz w:val="20"/>
              </w:rPr>
              <w:t>October 16, 2019</w:t>
            </w:r>
          </w:p>
        </w:tc>
        <w:tc>
          <w:tcPr>
            <w:tcW w:w="60"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sz w:val="20"/>
              </w:rPr>
            </w:pPr>
            <w:r>
              <w:rPr>
                <w:sz w:val="20"/>
              </w:rPr>
              <w:t>No expiration date</w:t>
            </w:r>
          </w:p>
        </w:tc>
        <w:tc>
          <w:tcPr>
            <w:tcW w:w="60" w:type="dxa"/>
            <w:tcBorders/>
            <w:shd w:fill="CCEEFF" w:val="clear"/>
            <w:vAlign w:val="center"/>
          </w:tcPr>
          <w:p>
            <w:pPr>
              <w:pStyle w:val="TableContents"/>
              <w:bidi w:val="0"/>
              <w:spacing w:before="0" w:after="283"/>
              <w:jc w:val="left"/>
              <w:rPr/>
            </w:pPr>
            <w:r>
              <w:rPr/>
              <w:t> </w:t>
            </w:r>
          </w:p>
        </w:tc>
        <w:tc>
          <w:tcPr>
            <w:tcW w:w="5217" w:type="dxa"/>
            <w:tcBorders/>
            <w:shd w:fill="CCEEFF" w:val="clear"/>
            <w:vAlign w:val="center"/>
          </w:tcPr>
          <w:p>
            <w:pPr>
              <w:pStyle w:val="TableContents"/>
              <w:bidi w:val="0"/>
              <w:spacing w:before="0" w:after="283"/>
              <w:jc w:val="left"/>
              <w:rPr>
                <w:sz w:val="20"/>
              </w:rPr>
            </w:pPr>
            <w:r>
              <w:rPr>
                <w:sz w:val="20"/>
              </w:rPr>
              <w:t>No Licensing Condition</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To conduct any regulated activity, a licensed corporation must appoint at least two responsible officers for each type of regulated activity. Among these officers, at least one should be an executive director, responsible for supervising the respective regulated activity. As of the date of this prospectus, Solomon JFZ has five responsible officers to carry out Type 1 regulated activities, three responsible officers to carry out Type 4 regulated activities, two responsible officers to carry out Type 6 regulated activities and two responsible officers to carry out Type 9 regulated activities. Among the responsible officers, at least one of them is an executive director. As a result, we are currently in full compliance with the HKSFC requirements on this matter.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we do not believe our operations in Hong Kong and future offerings in the United States are subject to the review or prior approval of the Cyberspace Administration of China, or the CAC or the CSRC. Specially, we do not currently expect the revised Cybersecurity Review Measures (the “revised CRM”), published by CAC on December 28, 2021, to have an impact on our business, operations or future offerings as we do not believe that any of our HK Subsidiaries is deemed to be an “operator of critical information infrastructure” or a “data processor” controlling personal information of no less than one million users, that are required to file for cybersecurity review, because: (i) each of our HK Subsidiaries is incorporated and operating in Hong Kong and the revised CRM remains unclear whether it shall be applied to a Hong Kong company; (ii) each of our HK Subsidiaries operates without any subsidiary or VIE structure in mainland China; (iii) as of date of this prospectus, our HK Subsidiaries collected and stored personal information of approximately 15,000 PRC individual clients, far less than one million users; and (vi) as of the date of this prospectus, none of our HK Subsidiaries has been informed by any PRC governmental authority that it is required to file for a cybersecurity review.</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However, there remains significant uncertainty in the interpretation and enforcement of relevant PRC cybersecurity laws and regulations. If any of our HK Subsidiaries is deemed to be an “operator of critical information infrastructure” or a “data processor” controlling personal information of no less than one million users, our HK Subsidiaries’ operation could be subject to CAC’s cybersecurity review in the future. If any of our HK Subsidiaries (i) does not receive or maintain such permissions or approvals, should the approval is required in the future by the PRC government, (ii) inadvertently concluded that such permissions or approvals are not required, or (iii) applicable laws, regulations, or interpretations change and any of our HK Subsidiaries is required to obtain such permissions or approvals in the future, our operations and financial conditions could be materially adversely affected, and our ability to offer securities to investors could be significantly limited or completely hindered and the securities currently being offered may substantially decline in value and be worthless. In addition, if we do not receive or maintain our existing licenses, or we inadvertently conclude that governmental approvals are not required, or applicable laws, regulations, or interpretations change such that we are required to obtain approval in the future and we fail to obtain such approval on a timely basis, we may be subject to governmental investigations, fines, penalties, orders to suspend operations and rectify any non-compliance, or prohibitions from conducting certain business or any financing, which could result in a material adverse change in our operations, significantly limit or completely hinder our ability to offer or continue to offer securities to investors, or cause our securities to significantly decline in value or become worthless.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See “</w:t>
      </w:r>
      <w:r>
        <w:rPr>
          <w:rFonts w:ascii="Times New Roman;Times;Serif" w:hAnsi="Times New Roman;Times;Serif"/>
          <w:b w:val="false"/>
          <w:i/>
          <w:caps w:val="false"/>
          <w:smallCaps w:val="false"/>
          <w:sz w:val="20"/>
          <w:bdr w:val="single" w:sz="12" w:space="1" w:color="000000"/>
        </w:rPr>
        <w:t>Risk Factors — Risks Relating to Doing Business in Jurisdictions We Operate — We may become subject to a variety of PRC laws and other obligations regarding cyber security, data protection, overseas offerings and/or foreign investment in China-based issuers, and any failure to comply with applicable laws and obligations could have a material and adverse effect on our business, financial condition, and results of operations and may hinder our ability to offer or continue to offer Ordinary Shares to investors and cause the value of the Ordinary Shares to significantly decline or be worthless.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Transfer of Cash Through Our Organization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neither Solowin nor any HK Subsidiary has paid any dividends or made any distributions to their respective shareholder(s), including any U.S. investors.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During the years ended March 31, 2024, 2023 and 2022, and during the subsequent period up to the date of this prospectus, the transfer of cash between Solowin and HK Subsidiaries totaled approximately $957,000. This amount represented the repayment of $774,000 by Solowin to Solomon JFZ for certain IPO related expenses paid by Solomon JFZ and advances of $183,000 made by Solowin to Solomon Wealth for its operations. There has been no transfer of other types of assets between Solowin and HK Subsidiaries. HK Subsidiaries, which conduct our substantive operations, maintain the cash. Currently, other than complying with the applicable Hong Kong laws and regulations, we do not have our own cash management policy or procedures that dictate how funds are transferred. Neither Solowin nor any of the HK Subsidiaries currently has plans to distribute earnings or declare cash dividends in the foreseeable future. We intend to keep any future earnings to finance the expansion of our business, and we do not anticipate that any cash dividends will be paid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If we determine to pay dividends on any of the Ordinary Shares in the future, as a holding company, Solowin will be dependent on receipt of funds from our HK Subsidiaries by way of dividend payments. In the future, cash proceeds raised from financings conducted outside of Hong Kong, may be transferred by Solowin to HK Subsidiaries via capital contribution or shareholder loans, as the case may be.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Subject to the Companies Act (As Revised) of the Cayman Islands and Solowin’s amended and restated memorandum and articles of association, Solowin’s board of directors may authorize and declare a dividend to shareholders at such time and of such an amount as they think fit out of either profit or share premium; provided that in no circumstances may a dividend be paid out of our share premium if this would result in Solowin being unable to pay its debts as they fall due in the ordinary course of business. For Solowin to transfer cash to HK Subsidiaries, Solowin may provide funding to HK Subsidiaries through loans or capital contributions without restrictions on the amount of the funds.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holding company, Solowin may rely on dividends and other distributions on equity paid by HK Subsidiaries for its cash and financing requirements. Under Hong Kong law, HK Subsidiaries are permitted to provide funding to Solowin through dividend distribution without restrictions on the amount of the funds under the condition that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HK Subsidiaries. In addition, there are no restrictions on foreign exchange and there are no limitations on the abilities of Solowin to transfer cash to or from our HK Subsidiaries or to investors under Hong Kong law. There are no restrictions or limitation under the laws of Hong Kong imposed on the conversion of HK dollar into foreign currencies and the remittance of currencies out of Hong Kong, nor is there any restriction on foreign exchange to transfer cash between Solowin and our HK Subsidiaries, across borders and to U.S. investors. Nor are there any restrictions and limitations on distributing earnings from HK Subsidiaries to Solowin or U.S. investors, or paying amounts owed. Solowin has not established cash management policies that dictate how funds are transferred.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See “</w:t>
      </w:r>
      <w:r>
        <w:rPr>
          <w:rFonts w:ascii="Times New Roman;Times;Serif" w:hAnsi="Times New Roman;Times;Serif"/>
          <w:b w:val="false"/>
          <w:i/>
          <w:caps w:val="false"/>
          <w:smallCaps w:val="false"/>
          <w:sz w:val="20"/>
          <w:bdr w:val="single" w:sz="12" w:space="1" w:color="000000"/>
        </w:rPr>
        <w:t>Risk Factors — Risks Related to Our Business and Industry — 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r>
        <w:rPr>
          <w:rFonts w:ascii="Times New Roman;Times;Serif" w:hAnsi="Times New Roman;Times;Serif"/>
          <w:b w:val="false"/>
          <w:i w:val="false"/>
          <w:caps w:val="false"/>
          <w:smallCaps w:val="false"/>
          <w:sz w:val="20"/>
          <w:bdr w:val="single" w:sz="12" w:space="1" w:color="000000"/>
        </w:rPr>
        <w:t>” for more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table below presents the cash flows from Solowin to its subsidiaries for the fiscal years ended March 31, 2024, 2023 and 2022 and the subsequent period up to the date of this prospectus: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9494" w:type="dxa"/>
        <w:jc w:val="left"/>
        <w:tblInd w:w="0" w:type="dxa"/>
        <w:tblLayout w:type="fixed"/>
        <w:tblCellMar>
          <w:top w:w="0" w:type="dxa"/>
          <w:left w:w="0" w:type="dxa"/>
          <w:bottom w:w="0" w:type="dxa"/>
          <w:right w:w="0" w:type="dxa"/>
        </w:tblCellMar>
      </w:tblPr>
      <w:tblGrid>
        <w:gridCol w:w="4760"/>
        <w:gridCol w:w="60"/>
        <w:gridCol w:w="225"/>
        <w:gridCol w:w="1291"/>
        <w:gridCol w:w="96"/>
        <w:gridCol w:w="96"/>
        <w:gridCol w:w="193"/>
        <w:gridCol w:w="307"/>
        <w:gridCol w:w="96"/>
        <w:gridCol w:w="96"/>
        <w:gridCol w:w="193"/>
        <w:gridCol w:w="307"/>
        <w:gridCol w:w="60"/>
        <w:gridCol w:w="60"/>
        <w:gridCol w:w="235"/>
        <w:gridCol w:w="1344"/>
        <w:gridCol w:w="75"/>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9" w:type="dxa"/>
            <w:gridSpan w:val="2"/>
            <w:tcBorders/>
            <w:vAlign w:val="center"/>
          </w:tcPr>
          <w:p>
            <w:pPr>
              <w:pStyle w:val="TableContents"/>
              <w:bidi w:val="0"/>
              <w:spacing w:before="0" w:after="283"/>
              <w:jc w:val="center"/>
              <w:rPr/>
            </w:pPr>
            <w:r>
              <w:rPr>
                <w:b/>
              </w:rPr>
              <w:t>Interim Period</w:t>
            </w:r>
            <w:r>
              <w:rPr/>
              <w:t xml:space="preserve"> </w:t>
            </w:r>
            <w:r>
              <w:rPr>
                <w:b/>
              </w:rPr>
              <w:br/>
              <w:t xml:space="preserve">(April 1, </w:t>
            </w:r>
          </w:p>
        </w:tc>
        <w:tc>
          <w:tcPr>
            <w:tcW w:w="75" w:type="dxa"/>
            <w:tcBorders/>
            <w:vAlign w:val="center"/>
          </w:tcPr>
          <w:p>
            <w:pPr>
              <w:pStyle w:val="TableContents"/>
              <w:bidi w:val="0"/>
              <w:spacing w:before="0" w:after="283"/>
              <w:jc w:val="left"/>
              <w:rPr/>
            </w:pPr>
            <w:r>
              <w:rPr/>
              <w:t> </w:t>
            </w:r>
          </w:p>
        </w:tc>
      </w:tr>
      <w:tr>
        <w:trPr/>
        <w:tc>
          <w:tcPr>
            <w:tcW w:w="4760" w:type="dxa"/>
            <w:tcBorders>
              <w:bottom w:val="single" w:sz="12" w:space="0" w:color="000000"/>
            </w:tcBorders>
            <w:tcMar>
              <w:bottom w:w="28" w:type="dxa"/>
            </w:tcMar>
            <w:vAlign w:val="center"/>
          </w:tcPr>
          <w:p>
            <w:pPr>
              <w:pStyle w:val="TableContents"/>
              <w:bidi w:val="0"/>
              <w:spacing w:before="0" w:after="283"/>
              <w:jc w:val="left"/>
              <w:rPr>
                <w:b/>
              </w:rPr>
            </w:pPr>
            <w:r>
              <w:rPr>
                <w:b/>
              </w:rPr>
              <w:t>Cash Flows Between Solowin and Subsidiaries</w:t>
            </w:r>
          </w:p>
        </w:tc>
        <w:tc>
          <w:tcPr>
            <w:tcW w:w="60" w:type="dxa"/>
            <w:tcBorders/>
            <w:vAlign w:val="center"/>
          </w:tcPr>
          <w:p>
            <w:pPr>
              <w:pStyle w:val="TableContents"/>
              <w:bidi w:val="0"/>
              <w:spacing w:before="0" w:after="283"/>
              <w:jc w:val="center"/>
              <w:rPr/>
            </w:pPr>
            <w:r>
              <w:rPr/>
              <w:t> </w:t>
            </w:r>
          </w:p>
        </w:tc>
        <w:tc>
          <w:tcPr>
            <w:tcW w:w="15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6"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6"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center"/>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2024-Present)</w:t>
            </w:r>
          </w:p>
        </w:tc>
        <w:tc>
          <w:tcPr>
            <w:tcW w:w="75" w:type="dxa"/>
            <w:tcBorders/>
            <w:vAlign w:val="center"/>
          </w:tcPr>
          <w:p>
            <w:pPr>
              <w:pStyle w:val="TableContents"/>
              <w:bidi w:val="0"/>
              <w:spacing w:before="0" w:after="283"/>
              <w:jc w:val="center"/>
              <w:rPr/>
            </w:pPr>
            <w:r>
              <w:rPr/>
              <w:t> </w:t>
            </w:r>
          </w:p>
        </w:tc>
      </w:tr>
      <w:tr>
        <w:trPr/>
        <w:tc>
          <w:tcPr>
            <w:tcW w:w="4760" w:type="dxa"/>
            <w:tcBorders/>
            <w:shd w:fill="CCEEFF" w:val="clear"/>
            <w:vAlign w:val="center"/>
          </w:tcPr>
          <w:p>
            <w:pPr>
              <w:pStyle w:val="TableContents"/>
              <w:bidi w:val="0"/>
              <w:spacing w:before="0" w:after="283"/>
              <w:jc w:val="left"/>
              <w:rPr/>
            </w:pPr>
            <w:r>
              <w:rPr/>
              <w:t>Solomon JFZ (Asia) Holdings Limited</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774,000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34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760" w:type="dxa"/>
            <w:tcBorders/>
            <w:shd w:fill="FFFFFF" w:val="clear"/>
            <w:vAlign w:val="center"/>
          </w:tcPr>
          <w:p>
            <w:pPr>
              <w:pStyle w:val="TableContents"/>
              <w:bidi w:val="0"/>
              <w:spacing w:before="0" w:after="283"/>
              <w:jc w:val="left"/>
              <w:rPr/>
            </w:pPr>
            <w:r>
              <w:rPr/>
              <w:t>Solomon Private Wealth Limited</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w:t>
            </w:r>
          </w:p>
        </w:tc>
        <w:tc>
          <w:tcPr>
            <w:tcW w:w="1344" w:type="dxa"/>
            <w:tcBorders/>
            <w:shd w:fill="FFFFFF" w:val="clear"/>
            <w:vAlign w:val="center"/>
          </w:tcPr>
          <w:p>
            <w:pPr>
              <w:pStyle w:val="TableContents"/>
              <w:bidi w:val="0"/>
              <w:spacing w:before="0" w:after="283"/>
              <w:jc w:val="right"/>
              <w:rPr/>
            </w:pPr>
            <w:r>
              <w:rPr/>
              <w:t>183,000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Restrictions on Cash Transfers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There are currently no such restrictions on foreign exchange or our ability to transfer cash or assets between Solowin and HK Subsidiaries. However, if certain PRC laws and regulations, including existing laws and regulations and those enacted or promulgated in the future were to become applicable to HK Subsidiaries, and to the extent our cash or assets are in Hong Kong or a Hong Kong entity, such funds or assets may not be available to fund operations or for other use outside of Hong Kong due to interventions in or the imposition of restrictions and limitations on HK Subsidiaries’ ability to transfer funds or assets by the PRC government. Furthermore, we cannot assure you that the PRC government will not intervene or impose restrictions on Solowin or HK Subsidiaries in their transferring or distributing cash within the organization, which could result in an inability of or prohibition on making transfers or distributions to entities outside of Hong Kong. Any limitation on the ability of HK Subsidiaries to pay dividends or make other distributions to Solowin could materially and adversely limit our ability to grow, make investments or acquisitions that could be beneficial to our business, pay dividends to U.S. investors, or otherwise fund and conduct our business. In addition, if any HK Subsidiary incurs debt on its own behalf in the future, the instruments governing such debt may restrict its ability to pay dividends. See “</w:t>
      </w:r>
      <w:r>
        <w:rPr>
          <w:rFonts w:ascii="Times New Roman;Times;Serif" w:hAnsi="Times New Roman;Times;Serif"/>
          <w:b w:val="false"/>
          <w:i/>
          <w:caps w:val="false"/>
          <w:smallCaps w:val="false"/>
          <w:sz w:val="20"/>
          <w:bdr w:val="single" w:sz="12" w:space="1" w:color="000000"/>
        </w:rPr>
        <w:t>Risk Factors — Risks Related to Our Business and Industry — 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Holding Foreign Company Accountable Act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more stringent standards have been imposed by the SEC and the Public Company Accounting Oversight Board, the PCAOB, Solowin’s securities may be prohibited from trading if our auditor cannot be fully inspected by the PCAOB. Pursuant to the Holding Foreign Companies Accountable Act, or the HFCA Act, enacted in 2020, if the auditor of a U.S. listed company’s financial statements is not subject to the PCAOB inspections for three consecutive “non-inspection” years, the SEC is required to prohibit the securities of such issuer from being traded on a U.S. national securities exchange, such as NYSE and Nasdaq, or in U.S. over-the-counter markets. On June 22, 2021, the U.S. Senate passed the Accelerating Holding Foreign Companies Accountable Act, or the AHFCAA, which, if enacted into law, would amend the HFCA Act and require the SEC to prohibit an issuer’s securities from trading on U.S. stock exchanges if its auditor is not subject to the PCAOB inspections for two consecutive “non-inspection” years instead of three and thus, reduces the time before Solowin’s securities may be prohibited from trading or delisted. In December 2022, an omnibus spending bill was passed by Congress and later signed into law, which included the enactment of provisions under the AHFCAA to accelerate the timeline for implementation of trading prohibitions under the HFCA Act from three consecutive years to two consecutive years. Pursuant to the HFCA Act, on December 16, 2021, the PCAOB issued its determination that the PCAOB was unable to inspect or investigate completely PCAOB-registered public accounting firms headquartered in mainland China or in Hong Kong, because of positions taken by authorities in the jurisdictions, and the PCAOB included in the report of its determination a list of the accounting firms that are headquartered in mainland China or Hong Kong. This list does not include our auditor, WWC, P.C., as our auditor is based in the U.S. and is registered with the PCAOB and subject to the PCAOB inspection. On August 26, 2022, the CSRC, the Ministry of Finance of the PRC, or the MOF, and the PCAOB signed a Statement of Protocol, or the Protocol, governing inspections and investigations of accounting firms based in mainland China and Hong Kong, taking the first step toward opening access for the PCAOB to inspect and investigate registered public accounting firms headquartered in mainland China and Hong Kong. On December 15, 2022, the PCAOB made a statement announcing that it was able, in 2022, to inspect and investigate completely issuer audit engagements of PCAOB-registered public accounting firms headquartered in mainland China and Hong Kong and as a result, PCAOB vacated its previous 2021 determination. However, uncertainties still exist as to whether the PCAOB will have continued access for complete inspections and investigations in the future. The PCAOB has indicated that it will act immediately to consider the need to issue new determinations if needed. While our auditor is based in the U.S. and is subject to the PCAOB inspection, in the event the PCAOB later determines that it is unable to inspect or investigate completely our auditor, then such lack of inspection could cause Solowin’s securities to be delisted from the U.S. stock exchange. See “</w:t>
      </w:r>
      <w:r>
        <w:rPr>
          <w:rFonts w:ascii="Times New Roman;Times;Serif" w:hAnsi="Times New Roman;Times;Serif"/>
          <w:b w:val="false"/>
          <w:i/>
          <w:caps w:val="false"/>
          <w:smallCaps w:val="false"/>
          <w:sz w:val="20"/>
          <w:bdr w:val="single" w:sz="12" w:space="1" w:color="000000"/>
        </w:rPr>
        <w:t>Risk Factors — Risks Related to Doing Business in Jurisdictions We Operate — The Ordinary Shares may be prohibited from trading in the United States under the HFCA Act in the future if the PCAOB is unable to inspect or investigate completely auditors located in China or Hong Kong. The delisting of the Ordinary Shares, or the threat of their being delisted, may materially and adversely affect the value of your investment.</w:t>
      </w:r>
      <w:r>
        <w:rPr>
          <w:rFonts w:ascii="Times New Roman;Times;Serif" w:hAnsi="Times New Roman;Times;Serif"/>
          <w:b w:val="false"/>
          <w:i w:val="false"/>
          <w:caps w:val="false"/>
          <w:smallCaps w:val="false"/>
          <w:sz w:val="20"/>
          <w:bdr w:val="single" w:sz="12" w:space="1" w:color="000000"/>
        </w:rPr>
        <w:t>” In addition, we cannot assure you that Nasdaq or other regulatory agencies will not apply additional or more stringent requirements to us. Such uncertainty could cause the market price of the Ordinary Shares to be materially and adversely affected.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current legal and commercial name of the Company is SOLOWIN HOLDINGS. SOLOWIN HOLDINGS is an exempted limited liability company incorporated under the laws of the Cayman Islands on July 23, 2021. The registered office of the Company is at the offices of Conyers Trust Company (Cayman) Limited, Cricket Square, Hutchins Drive, PO Box 2681, Grand Cayman, KY1-1111, Cayman Islands. The address of our principal place of business is Room 1910-1912A, Tower 3, China Hong Kong City, 33 Canton Road, Tsim Sha Tsui, Kowloon, Hong Kong. Our telephone number is +852 3428-3893.</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Ordinary Shares commenced trading on the Nasdaq Capital Market on September 7, 2023 under the ticker symbol “SWIN”.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agent for service of process in the United States is Cogency Global Inc., 122 East 42nd Street, 18th Floor, New York, NY 10168.</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Company’s website can be found at https://www.solomonwin.com.hk. The information contained on our website is not a part of this prospectus, nor is such content incorporated by reference herein, and should not be relied upon in determining whether to make an investment in our securities.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The Securities We May Offer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use this prospectus to offer any of the following types of securities having an aggregate public offering price of $200,000,000:</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848" w:type="dxa"/>
        <w:jc w:val="left"/>
        <w:tblInd w:w="0" w:type="dxa"/>
        <w:tblLayout w:type="fixed"/>
        <w:tblCellMar>
          <w:top w:w="0" w:type="dxa"/>
          <w:left w:w="0" w:type="dxa"/>
          <w:bottom w:w="0" w:type="dxa"/>
          <w:right w:w="0" w:type="dxa"/>
        </w:tblCellMar>
      </w:tblPr>
      <w:tblGrid>
        <w:gridCol w:w="38"/>
        <w:gridCol w:w="17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both"/>
              <w:rPr/>
            </w:pPr>
            <w:r>
              <w:rPr/>
              <w:t>Ordinary Shares;</w:t>
            </w:r>
          </w:p>
        </w:tc>
      </w:tr>
    </w:tbl>
    <w:p>
      <w:pPr>
        <w:pStyle w:val="TextBody"/>
        <w:bidi w:val="0"/>
        <w:jc w:val="left"/>
        <w:rPr>
          <w:bdr w:val="single" w:sz="12" w:space="1" w:color="000000"/>
        </w:rPr>
      </w:pPr>
      <w:r>
        <w:rPr>
          <w:bdr w:val="single" w:sz="12" w:space="1" w:color="000000"/>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95" w:type="dxa"/>
            <w:tcBorders/>
            <w:vAlign w:val="center"/>
          </w:tcPr>
          <w:p>
            <w:pPr>
              <w:pStyle w:val="TableContents"/>
              <w:bidi w:val="0"/>
              <w:spacing w:before="0" w:after="283"/>
              <w:jc w:val="both"/>
              <w:rPr/>
            </w:pPr>
            <w:r>
              <w:rPr/>
              <w:t>preferred shares;</w:t>
            </w:r>
          </w:p>
        </w:tc>
      </w:tr>
    </w:tbl>
    <w:p>
      <w:pPr>
        <w:pStyle w:val="TextBody"/>
        <w:bidi w:val="0"/>
        <w:jc w:val="left"/>
        <w:rPr>
          <w:bdr w:val="single" w:sz="12" w:space="1" w:color="000000"/>
        </w:rPr>
      </w:pPr>
      <w:r>
        <w:rPr>
          <w:bdr w:val="single" w:sz="12" w:space="1" w:color="000000"/>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both"/>
              <w:rPr/>
            </w:pPr>
            <w:r>
              <w:rPr/>
              <w:t>debt securities;</w:t>
            </w:r>
          </w:p>
        </w:tc>
      </w:tr>
    </w:tbl>
    <w:p>
      <w:pPr>
        <w:pStyle w:val="TextBody"/>
        <w:bidi w:val="0"/>
        <w:jc w:val="left"/>
        <w:rPr>
          <w:bdr w:val="single" w:sz="12" w:space="1" w:color="000000"/>
        </w:rPr>
      </w:pPr>
      <w:r>
        <w:rPr>
          <w:bdr w:val="single" w:sz="12" w:space="1" w:color="000000"/>
        </w:rPr>
        <w:t> </w:t>
      </w:r>
    </w:p>
    <w:tbl>
      <w:tblPr>
        <w:tblW w:w="1113" w:type="dxa"/>
        <w:jc w:val="left"/>
        <w:tblInd w:w="0" w:type="dxa"/>
        <w:tblLayout w:type="fixed"/>
        <w:tblCellMar>
          <w:top w:w="0" w:type="dxa"/>
          <w:left w:w="0" w:type="dxa"/>
          <w:bottom w:w="0" w:type="dxa"/>
          <w:right w:w="0" w:type="dxa"/>
        </w:tblCellMar>
      </w:tblPr>
      <w:tblGrid>
        <w:gridCol w:w="38"/>
        <w:gridCol w:w="170"/>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both"/>
              <w:rPr/>
            </w:pPr>
            <w:r>
              <w:rPr/>
              <w:t>warrants;</w:t>
            </w:r>
          </w:p>
        </w:tc>
      </w:tr>
    </w:tbl>
    <w:p>
      <w:pPr>
        <w:pStyle w:val="TextBody"/>
        <w:bidi w:val="0"/>
        <w:jc w:val="left"/>
        <w:rPr>
          <w:bdr w:val="single" w:sz="12" w:space="1" w:color="000000"/>
        </w:rPr>
      </w:pPr>
      <w:r>
        <w:rPr>
          <w:bdr w:val="single" w:sz="12" w:space="1" w:color="000000"/>
        </w:rPr>
        <w:t> </w:t>
      </w:r>
    </w:p>
    <w:tbl>
      <w:tblPr>
        <w:tblW w:w="1233" w:type="dxa"/>
        <w:jc w:val="left"/>
        <w:tblInd w:w="0" w:type="dxa"/>
        <w:tblLayout w:type="fixed"/>
        <w:tblCellMar>
          <w:top w:w="0" w:type="dxa"/>
          <w:left w:w="0" w:type="dxa"/>
          <w:bottom w:w="0" w:type="dxa"/>
          <w:right w:w="0" w:type="dxa"/>
        </w:tblCellMar>
      </w:tblPr>
      <w:tblGrid>
        <w:gridCol w:w="38"/>
        <w:gridCol w:w="170"/>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both"/>
              <w:rPr/>
            </w:pPr>
            <w:r>
              <w:rPr/>
              <w:t>rights; and</w:t>
            </w:r>
          </w:p>
        </w:tc>
      </w:tr>
    </w:tbl>
    <w:p>
      <w:pPr>
        <w:pStyle w:val="TextBody"/>
        <w:bidi w:val="0"/>
        <w:jc w:val="left"/>
        <w:rPr>
          <w:bdr w:val="single" w:sz="12" w:space="1" w:color="000000"/>
        </w:rPr>
      </w:pPr>
      <w:r>
        <w:rPr>
          <w:bdr w:val="single" w:sz="12" w:space="1" w:color="000000"/>
        </w:rPr>
        <w:t> </w:t>
      </w:r>
    </w:p>
    <w:tbl>
      <w:tblPr>
        <w:tblW w:w="753" w:type="dxa"/>
        <w:jc w:val="left"/>
        <w:tblInd w:w="0" w:type="dxa"/>
        <w:tblLayout w:type="fixed"/>
        <w:tblCellMar>
          <w:top w:w="0" w:type="dxa"/>
          <w:left w:w="0" w:type="dxa"/>
          <w:bottom w:w="0" w:type="dxa"/>
          <w:right w:w="0" w:type="dxa"/>
        </w:tblCellMar>
      </w:tblPr>
      <w:tblGrid>
        <w:gridCol w:w="38"/>
        <w:gridCol w:w="170"/>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both"/>
              <w:rPr/>
            </w:pPr>
            <w:r>
              <w:rPr/>
              <w:t>units.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issue securities of the types listed above which are convertible or exchangeable for other securities so listed. In addition, this prospectus relates to the resale, from time to time, of up to an aggregate of 2,960,000 Ordinary Shares by the selling shareholder named in this prospectus, including its donees, pledgees, transferees, assignees or other successors-in-interest. We will not receive any proceeds from sales of the Ordinary Shares offered by the selling shareholder although we will incur certain expenses in connection with such offering. When we or the selling shareholder decides to sell a particular class or series of securities, we or the selling shareholder will provide specific terms of the offered securities in a prospectus supplement. A prospectus supplement will describe the specific types, amounts, prices, and detailed terms of any of these offered securities and may describe certain risks associated with an investment in the securities. Terms used in the prospectus supplement will have the meanings described in this prospectus, unless otherwise specified.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qualify as an “emerging growth company” as defined in the Jumpstart Our Business Startups Act of 2012 (the “JOBS Act”) and may take advantage of reduced public reporting requirements. These provisions include, but are not limited to:</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being permitted to present only two years of audited financial statements and only two years of related Management’s Discussion and Analysis of Financial Condition and Results of Operations;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not being required to comply with the auditor attestation requirements in the assessment of our internal control over financial reporting;</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reduced disclosure regarding executive compensation in periodic reports, proxy statements and registration statements; and</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exemptions from the requirements of holding a nonbinding advisory vote on executive compensation and shareholder approval of any golden parachute payments not previously approved.</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provisions until the last day of our fiscal year following the fifth anniversary of the date of the first sale of the Ordinary Shares pursuant to our initial public offering. However, if certain events occur before the end of such five-year period, including if we become a “large accelerated filer,” if our annual gross revenues exceed $1.235 billion or if we issue more than $1.0 billion of non-convertible debt in any three-year period, we will cease to be an emerging growth company before the end of such five-year period.</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Section 107 of the JOBS Act provides that an emerging growth company can take advantage of the extended transition period provided in Section 7(a)(2)(B) of the Securities Act of 1933, as amended (the “Securities Act”), for complying with new or revised accounting standards.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Foreign Private Issuer</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report under the Securities Exchange Act of 1934, as amended (the “Exchange Act”), as a non-U.S. company with “foreign private issuer” status. Even after we no longer qualify as an emerging growth company, so long as we qualify as a foreign private issuer under the Exchange Act, we will be exempt from certain provisions of the Exchange Act and the rules thereunder that are applicable to U.S. domestic public companies, including: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rules under the Exchange Act that require U.S. domestic public companies to issue financial statements prepared under U.S. GAAP;</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sections of the Exchange Act that regulate the solicitation of proxies, consents or authorizations in respect of any securities registered under the Exchange Act;</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sections of the Exchange Act that require insiders to file public reports of their share ownership and trading activities and that impose liability on insiders who profit from trades made in a short period of time; and</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rules under the Exchange Act that require the filing with the SEC of quarterly reports on Form 10-Q, containing unaudited financial and other specified information, and current reports on Form 8-K, upon the occurrence of specified significant events.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will file with the SEC, within four months after the end of each fiscal year (or such other reports required by the SEC), an annual report on Form 20-F containing financial statements audited by an independent registered public accounting firm.</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Both foreign private issuers and emerging growth companies are also exempt from certain of the more extensive SEC executive compensation disclosure rules. Therefore, if we no longer qualify as an emerging growth company but remain a foreign private issuer, we will continue to be exempt from such rules and will continue to be permitted to follow our home country practice as to the disclosure of such matters.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 Factors Summary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There are a number of risks that you should consider and understand before making an investment decision regarding securities that we are offering. You should carefully consider all of the information set forth in this prospectus and, in particular, should evaluate the specific factors set forth or incorporated by reference in the section titled “Risk Factors” and before deciding whether to invest in our securities. These risks include, but are not limited to:</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Hong Kong’s securities brokerage industry is highly competitive, and Solomon JFZ is subject to extensive and evolving regulatory requirements in the jurisdictions in which it operates.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We may not be able to obtain or maintain all necessary licenses, permits and approvals and to make all necessary registrations and filings for our business activities in multiple jurisdictions and related to residents therein, especially in the PRC or otherwise relating to PRC residents.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Our level of commission and fee rates may decline in the future. Any material reduction in our commission or fee rates could reduce our profitability.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We derived a substantial portion of revenue from a small number of key clients.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Substantially all our operations are in Hong Kong. However, the legal and operational risks associated with operations in China may also apply to operations in Hong Kong. Changes in the policies, regulations, rules, and the enforcement of laws of the Chinese government may also be quick with little advance notice and our assertions and beliefs of the risk imposed by the PRC legal and regulatory system cannot be certain.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The enactment of Law of the PRC on Safeguarding the Hong Kong National Security Law could impact our Hong Kong operating subsidiaries.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sz w:val="20"/>
              </w:rPr>
            </w:pPr>
            <w:r>
              <w:rPr>
                <w:sz w:val="20"/>
              </w:rPr>
              <w:t xml:space="preserve">There are political risks associated with conducting business in Hong Kong.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The Ordinary Shares may be delisted under the HFCA At if the PCAOB is unable to inspect our auditors. The delisting of the Ordinary Shares, or the threat of such delisting, may materially and adversely affect the value of your investment. In December 2022, an omnibus spending bill was signed into law, which included the enactment of provisions under the AHFCAA to accelerate the timeline for implementation of trading prohibitions under the HFCA Act from three consecutive years to two consecutive years. On December 16, 2021, the PCAOB issued its determination that the PCAOB is unable to inspect or investigate completely PCAOB-registered public accounting firms headquartered in mainland China and Hong Kong, because of positions taken by authorities in the jurisdictions, and the PCAOB included in the report of its determination a list of the accounting firms that are headquartered in mainland China or Hong Kong. This list does not include our auditor, WWC, P.C. While our auditor is based in the U.S. and is registered with the PCAOB and subject to the PCAOB inspection, in the event it is later determined that the PCAOB is unable to inspect or investigate completely our auditor, then such lack of inspection could cause our securities to be delisted from the stock exchange.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We may become subject to certain new PRC laws and regulations regarding cyber security, data protection and overseas listing.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The Ordinary Shares experienced extreme price volatility unrelated to our actual or expected operating performance, financial condition or prospects, making it difficult for prospective investors to assess the rapidly changing value of the Ordinary Shares and investors may experience losses on their investment.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We may not be able to maintain a listing of the Ordinary Shares on Nasdaq.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We have not historically declared or paid dividends on the Ordinary Shares and, consequently, your ability to achieve a return on your investment will depend on appreciation in the price of the Ordinary Shares.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Solowin’s directors, officers and principal shareholders have significant voting power.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We are exempt from certain provisions under the Exchange Act applicable to U.S. domestic public companies.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As a foreign private issuer, we are permitted to rely on exemptions from certain Nasdaq corporate governance standards applicable to domestic U.S. issuers. This may afford less protection to holders of the Ordinary Shares.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 xml:space="preserve">You may face difficulties in protecting your interests, and your ability to protect your rights through U.S. courts may be limited, because Solowin is incorporated under Cayman Islands law. </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a_003"/>
      <w:bookmarkEnd w:id="15"/>
      <w:r>
        <w:rPr>
          <w:rFonts w:ascii="Times New Roman;Times;Serif" w:hAnsi="Times New Roman;Times;Serif"/>
          <w:b/>
          <w:i w:val="false"/>
          <w:caps w:val="false"/>
          <w:smallCaps w:val="false"/>
          <w:sz w:val="20"/>
        </w:rPr>
        <w:t>RISK FACTORS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We operate in a highly competitive environment in which there are numerous factors which can influence our business, financial position or results of operations and which can also cause the market value of our Ordinary Shares to decline. Many of these factors are beyond our control and therefore, are difficult to predict. Prior to making a decision about investing in our securities, you should carefully consider the risk factors discussed in the section entitled “Risk Factors” contained in our most recent Annual Report on Form 20-F filed with the SEC, and in any applicable prospectus supplement and our other filings with the SEC and incorporated by reference in this prospectus or any applicable prospectus supplement, together with all of the other information contained in this prospectus or any applicable prospectus supplement.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Relating to Our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heavily regulated industry, and are subject to extensive and evolving regulatory requirements in the jurisdictions in which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highly-regulated industry and must comply with the applicable regulatory requirements in the jurisdictions we operate. Our major regulators include Cayman Islands Monetary Authority (CIMA) and Securities and Futures Commission of Hong Kong, or HKSFC. These regulators and self-regulatory organizations govern our business operations in a variety of ways and conduct regular examinations of our business to monitor our compliance with applicable regulations. Among other things, we are subject to regulations with regard to (i) our sales practices, including our interaction with and solicitation of clients and our marketing activities; (ii) the custody, control and safeguarding of our clients’ assets; (iii) maintaining specified minimum amounts of capital and limiting withdrawals of funds from our regulated operating subsidiaries; (iv) submitting regular financial and other reports to regulators; (v) licensing for our operating subsidiaries and our employees; and (vi) the conduct of our directors, officers, employees and affiliates. In addition, as the online brokerage service industry in Hong Kong is at a relatively early stage of development, interpretation and enforcement of the applicable regulatory regime are subject to significant uncertainties, which may result in difficulties in determining whether our existing practices violate any applicable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regulations is complicated, time-consuming and expensive. Our ability to comply with all applicable laws and regulations is largely dependent on our internal compliance system, as well as our ability to attract and retain qualified compliance personnel. While we maintain systems and procedures designed to ensure that we comply with applicable laws and regulations, we cannot assure you that we are able to prevent all possible violations. Non-compliance with applicable laws or regulations could result in sanctions being levied against us, including the imposition of fines or penalties, censures, restrictions on certain business activities, suspension or expulsion from a jurisdiction or market or the revocation or limitation of licenses, which could adversely affect our reputation, prospects, revenues and earnings. Furthermore, any future change in the regulatory, legal and industry environment for the securities brokerage, investment advisory, corporate finance and asset management may have a significant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regular investigations, inquiries and inspections from the relevant regulatory bodies. For example, from time to time, Solomon JFZ, our HKSFC-licensed subsidiary, may be subject to or required to assist in inquiries or investigations by regulatory authorities in Hong Kong, principally the HKSFC. The HKSFC conducts on-site reviews and off-site monitoring to ascertain and supervise Solomon JFZ’s business conduct and compliance with relevant regulatory requirements and to assess and monitor, among other things, its financial soundness. Similarly, Solowin may be subject to CIMA’s on-site inspections and inquiries from time to time. If any misconduct is identified as a result of inquiries, reviews, investigation or inspections, the relevant regulatory authorities may take disciplinary actions against us. There also remains a risk that we may not be able to rectify our practices to be in compliance with the relevant rules and regulations following the identification of any such misconduct or material non-compliance, which may result in regulators taking additional actions against it. We have not been inspected by HKSFC so far. We have an external audit carried out every year, and we have hired an external compliance consulting company since September 1, 2021 on compliance review and checking.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obtain or maintain all necessary licenses, permits and approvals and to make all necessary registrations and filings for our business activities in multiple jurisdictions and related to residents therein, especially in the PRC or otherwise relating to PRC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heavily regulated industry, which requires various licenses, permits and approvals in different jurisdictions to conduct our businesses. Our clients include people who live in jurisdictions where we do not have licenses issued by the local regulatory bodies. It is possible that authorities in those jurisdictions may in the future take the position that we are required to obtain licenses or otherwise comply with local laws and regulations in order to conduct our business with residents living in those jurisdictions. In any jurisdictions, if we fail to comply with the regulatory requirements, we may risk being disqualified for our existing businesses or being rejected for renewal of our qualifications and/or licenses upon expiry by the regulatory authorities as well as other penalties, fines or sanctions. In addition, in respect of any new business that we may contemplate, we may not be able to obtain the relevant approvals for developing such new business if we fail to comply with the relevant regulations and regulatory requirements. As a result, we may fail to develop new business as planned, or we may fall behind our competitors in such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we do not hold any licenses or permits from any PRC regulatory bodies for Solomon JFZ’s securities related business. Currently, a large number of our clients are PRC residents and some independent contractors are providing supporting services remotely from the PRC. We believe that since the transactions on Solomon JFZ’s trading platform are all conducted outside PRC, Solomon JFZ’s current activities in China do not require a securities brokerage license, a making license or permit under existing PRC securities laws and regulations. However, it is noted on December 30, 2022, CSRC issued a rectification request to similarly situated companies, specifically described as “Futu Holdings and UP Fintech Holding Limited have conducted cross-border securities business for domestic investors without the approval of the CSRC, which constitutes illegal operation of securities business under the Securities Law and other relevant laws and regulations, and the CSRC intends to require Futu Holdings and UP Fintech Holding Limited to rectify the aforementioned violations.” Moreover, CSRC has promulgated Administrative Measures on Securities Brokerage Services effective on February 28, 2023, which clarifies that CSRC will strengthen the daily supervision of illegal cross-border brokerage business and steadily and orderly promote the rectification and standardization of such activity. Therefore, we tend to believe that CSRC is now gradually strengthening its regulation of this cross-border online brokerage business, and Solomon JFZ’s business involving PRC residents may also need to comply with the new regulatory requirements in the future. As a result, there remains uncertainties as to how the current and any future PRC laws and regulations will be interpreted or implemented in the context of operating securities-related business in China. We cannot assure you that our current operating model will not be deemed as operating securities brokerage business in China, subjecting us to further inquiries or rectifications. If certain of Solomon JFZ’s activities in China were deemed by PRC regulators to be providing securities brokerage services, investment consulting services or stock options brokerage business in China, we would be required to obtain the required licenses or permits from the relevant regulatory bodies, including CSRC. The failure to obtain such licenses or permits may subject us to regulatory actions and penalties, including fines, suspension of parts or all of Solomon JFZ’s business relations with PRC individuals and entities, and temporary suspension or removal of our websites and mobile application in China. In such cases, our business, financial condition, results of operations and prospects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governmental control of currency conversion, cross-border remittance and offshore investment could have a direct impact on the trading volume on our platform, and the PRC government could further tighten restrictions on converting Renminbi to foreign currencies and/or deems our practices to be in violation of PRC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clients are PRC residents and are therefore subject to the restrictions under the rules and regulations promulgated by the State Administration of Foreign Exchange (the “SAFE”), regarding the conversion of Renminbi into foreign currencies and the remittance and the use of such funds outside China. Under current PRC foreign exchange regulations, which are Administrative Measures on Individual Foreign Exchange issued in December 2006 and Implementation Regulations for the Administrative Measures on Individual Foreign Exchange issued in January 2007, each PRC citizen is permitted to convert up to an aggregate of $50,000 equivalent Renminbi each year for appropriate personal use. Such appropriate use does not include direct investment into secondary stock markets, futures, insurances, asset management products or other trading. PRC residents who intend to convert Renminbi into U.S. dollars exceeding such quota are required to go through additional application and review procedures with commercial banks designated by the SAFE. In fact, according to the Notice of the State Administration of Foreign Exchange on Issues Relating to Foreign Exchange Control for Overseas Investment and Financing and Round-tripping by Chinese Residents through Special Purpose Vehicles (Hui Fa [2014] No.37), except for the red chip model (individuals in China set up SPVs abroad and return to invest) recognized by SAFE , PRC residents can only invest in overseas markets indirectly through channels such as Shanghai-Shenzhen-Hong Kong Stock Exchange, mutual recognition of funds between the Mainland and Hong Kong or purchase of QDII/RQDII products. Although we require our clients to comply with the relevant rules and regulations pursuant to the agreements we enter into with them, we cannot assure you that our clients will follow the rules and regulations or the provisions in the agreements at all times. We have not accepted any direct Renminbi deposit from mainland China since start-up and do not handle the Renminbi cross-border currency conversion for our Chinese clients through any of our accounts or entities, and we do not require our clients to submit evidence of approval or registration with respect to the foreign currency used for offshore investments. We cannot assure you that our current operating model, which includes redirecting our clients to open accounts with third party service provider, will be not deemed as assisting with the currency conversion by SAFE. In such cases, we may face regulatory warnings, correction orders, condemnation and fines, and may not be able to conduct our current business in the future. In addition, any misbehavior or violation by our clients of applicable laws and regulations could lead to regulatory inquiries, investigations or penalties that involve us. Moreover, in accordance with the rectification requirements imposed by the CSRC on December 30, 2022 in respect of Futu Holdings and UP Fintech Holding Limited, it cannot be ruled out that we will not subsequently be penalized by the relevant PRC authorities due to foreign exchange control issues for our PRC residents clients and Solomon JFZ may also be prohibited from accepting incremental fund transfers to such investors’ accounts in violation of PRC foreign exchange control regulations due to this issue, like above mentioned those two companies, which may make it more difficult for us to develop new PRC residents customers subsequently.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PRC authorities and the commercial banks designated by the SAFE to conduct foreign exchange services have significant discretion in interpreting, implementing and enforcing the foreign exchange rules and regulations, and due to many other factors that are beyond our control and ability to anticipate, we may face more severe consequences, including being asked to take additional and burdensome measures to monitor the source and use of the foreign currency funds in the accounts of our clients, remove our account opening functions, or suspend our operations pending an investigation or indefinitely. In such cases, we may face regulatory warnings, correction orders, condemnation, fines and confiscation of income, and may not be able to conduct our current business in the future. We may also be subject to regular inspections from relevant authorities from time to time. If such situations occur, our business, financial condition, results of operations and prospects would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PRC government further tightens the amount of currency exchange allowed for PRC residents, increases control over the remittance of currency out of the PRC, restricts the assistance or participation of any non-resident entities in the currency conversion, or specifically prohibits any exchanges for securities-related investment purposes, the trading activities of Chinese residents on our platform could be restricted, which would significantly reduce the trading volume on our platform. As our revenues from brokerage commission and market making income depends heavily on the total trading volume facilitated on our platform, the occurrence of any of the above regulatory changes would have a material and adverse impact on our business, operating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were deemed to be an investment company under the Investment Company Act of 1940, we may be required to institute burdensome compliance requirements and our activities may be restricted, which could adversely affect the price of the Ordinary Shares and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entity will generally be deemed an “investment company” under Section 3(a)(1) of the Investment Company Act of 1940, as amended (the “1940 Act”) if: (a) it is or holds itself out as being engaged primarily, or proposes to engage primarily, in the business of investing, reinvesting or trading in securities, or (b) absent an applicable exemption, it owns or proposes to acquire investment securities having a value exceeding 40% of the value of its total assets (exclusive of U.S. government securities and cash items) on an unconsolidated basis. We believe we are not an “investment company” and do not intend to become registered as an “investment company” within the meaning of the 1940 Act, as we do not hold ourselves out as being primarily engaged in the business of investing, reinvesting, or trading in securities. As of March 31, 2024, Solomon JFZ’s operations mainly consisted of four business segments: (i) securities related services, (ii) investment advisory services, (iii) corporate consultancy services, and (iv) asset management services to our customers. Solomon JFZ charges brokerage commission fees to clients for trades made using its trading platform based on the transaction amount, subject to a minimum charge per transaction. Solomon JFZ provides investment advice to our clients based on their financial needs and risk appetite, and it charges them an investment advisory fee based on a percentage of the AUM. Solomon JFZ also provides corporate consultancy services to unlisted and listed companies that are looking for high-quality and value-added corporate finance advisory services at reasonable costs. It charges our clients advisory fees according to the type and size of the transactions, duration of the engagement, complexity of the transaction and the expected manpower requirements. For its asset management services, Solomon JFZ generates revenue through fund subscription fees, fund management fees, and performance fees. Solomon JFZ’s management funds provide eligible investors with the chance to invest under professional management. The subscription fees for asset management services vary based on the subscription amount, ranging from 1% to 5% for specific funds and investors. In addition, as of March 31, 2024, Solomon JFZ’s investment securities represented less than 40% of the value of our total assets (exclusive of U.S. government securities and cash items) on an unconsolidated basis calculated in accordance with Section 3(a)(1)(C) of the 1940 Act. The Company does not own any securities as defined as “investment securities” under Section 3(a)(2) of the 1940 Act. Because neither Solowin nor Solomon JFZ owns securities of other companies, they will not receive any dividend or interest income, nor will they recognize gains or losses from sales of securities and there is no expectation that these circumstances will change in the foreseeable future. We intend to continue to conduct our operations so that we will not be deemed an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we become or are determined to be primarily engaged in the business of investing, reinvesting or trading in securities, we could become subject to regulation under the 1940 Act. If we were to become subject to the 1940 Act, any violation of the 1940 Act could subject us to material adverse consequences, including potentially significant regulatory penalties and the possibility that certain of our contracts would be deemed unenforceable. Additionally, as a foreign private issuer, we would not be eligible to register under the 1940 Act. Accordingly, we would either have to obtain exemptive relief from the SEC, modify our contractual rights or dispose of investments in order to fall outside the definition of an investment company, each of which may have a material adverse effect on the Company. Additionally, we may have to forego potential future acquisitions of interests in companies that may be deemed to be investment securities within the meaning of the 1940 Act. Finally, failure to avoid being deemed an investment company under the 1940 Act could also make us unable to comply with our reporting obligations as a public company in the United States and lead to our being delisted from Nasdaq, which would have a material adverse effect on the liquidity and value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retain existing clients or attract new clients, or we may fail to offer services to address the needs of our clients as they evolve.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a significant portion of our revenues from Solomon JFZ’s commissions based upon the trading volume or the number of relevant transaction contracts executed by our clients. The historically rapidly growing trading volume on Solomon JFZ’s platform was primarily driven by the increasing number of our active clients in the past. However, our total revenue-generating clients have declined over the past three fiscal years. As of March 31, 2024, 2023 and 2022, we had 1,240, 1,400 and 2,100 revenue-generating clients, respectively. Revenue-generating clients are active clients who have assets in their trading accounts and have trading activities. We have seen a significant decrease in this group of clients, primarily due to a sharp increase in withdrawals and limited growth in new clients depositing money after opening their accounts. The high number of withdrawals is directly tied to a decline in investor confidence because of bad performance in the Hong Kong stock market, which was evidenced by a 22% drop in the HSI index over a six-month period from March 31 2022 to September 30, 2022. Investors who lost interest in trading chose to withdraw their money and avoid making impulsive trading. The limited growth in new client deposits is largely due to the absence of appealing initial public offerings in the Hong Kong stock market. According to statistical data from HKEX, the number of IPOs in the Hong Kong stock market declined significantly during the past years from 154 in 2020 to 90 in 2022, or a compounded decrease of 24%. Additionally, in 2022, 31 of the 90 IPOs had trading prices falling on their first day of trading, while 49 companies underperformed their initial offering prices throughout the year, representing 34% and 54% of the total number of IPOs in the year, respectively. To further grow our business and expand our operation, we rely on continuous efforts in retaining existing clients and attracting new 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existing clients is dependent upon multiple factors, some of which are beyond our control. Our clients may not continue to place trading orders or increase the level of their trading activities on Solomon JFZ’s platform if we cannot match the prices offered by other market players or if we fail to deliver satisfactory services. Failure to deliver services in a timely manner at competitive prices and provide a satisfactory experience will cause our clients to lose confidence in us and use our platform less frequently or even stop using Solomon JFZ’s platform altogether. Even if we are able to provide high-quality and satisfactory services on Solomon JFZ’s platform in a timely manner and at favorable pricing terms, we cannot assure you that we will be able to retain existing clients, encourage repeat and increase trading transactions, in part due to reasons beyond our control, such as the personal financial situation of our clients or the deterioration of capital markets generally. We have taken efforts in attracting new clients and expanding our brand influence, and we plan to continue doing so. However, these efforts may not be cost effective and we cannot assure you that we will be able to grow our client base as we expect, which may in turn materially and adversely affect our business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level of commission and fee rates may decline in the future. Any material reduction in our commission or fee rates could reduce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is derived from advisory fees charged to clients for Solomon JFZ’s investment advisory services. Revenues generated from investment advisory fees amounted to approximately $2.86 million, or 67%, approximately $2.52 million, or 56% and approximately $0.73 million, or 22% of our total revenue for the fiscal years ended March 31, 2024,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generates revenue through advisory fees utilizing a pricing model that carefully balances cost, value, and affordability. When determining the cost elements, factors such as human resources, sales commissions, and operational expenses are taken into consideration. Additionally, Solomon JFZ may implement a reduced percentage fee structure to accommodate affordability or to attract new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commissions charged to clients for Solomon JFZ’s securities related services amounted to $51,000, or 1%, $74,000, or 2% and $1.84 million, or 57% of our total revenue for the fiscal years ended March 31, 2024, 2023 and 2022. The significant decrease in the fiscal year ended March 31, 2024 was mainly due to the poor equity market performance in Hong Kong and a lack of attractive IPOs in the Hong Kong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terms of online trading commission fees, our fees are about 60% lower than those of banks, which charge high fees due to their reputation for securing assets and providing convenient access to purchasing power. However, our fees are less competitive compared to those of larger online securities companies with a larger client base, such as Futu Securities. For IPO subscription fees, we offer competitive rates similar to those of banks, charging a fee of HKD 100 per subscription and winning lot 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pressure on our commission or fee rates as a result of competition in the financial service industry and online brokerage industry. Some of our competitors offer a broader range of services to a larger client base and enjoy higher trading volumes than we do. Consequently, our competitors may be able to offer trading services at lower commissions or fee rates than we currently offer or may be able to offer. For example, some banks in Hong Kong and the United States have started offering zero commission fees or similar promotions to attract clients. As a result of this pricing competition, we could lose both market share and revenues. We believe that any downward pressure on commission or fee rates would likely continue and intensify as we continue to develop our business and gain recognition in our markets. A decline in our commission or fee rates could lower our revenues, which would adversely affect our profitability. In addition, our competitors may offer other financial incentives we may not be able to offer, such as rebates or discounts in order to induce trading in their systems, which may in turn materially and adversely affect our operating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the profitability of our clients’ investments or ensure that our clients will make rational investment judgements.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the profitability of the investments made by clients on Solomon JFZ’s trading platform. The profitability of our clients’ investments is directly affected by elements beyond our control, such as economic and political conditions, broad trends in business and finance, changes in volume of securities and futures transactions, changes in the markets in which such transactions occur and changes in how such transactions are processed.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many of our clients are retail investors, who are less sophisticated compared with institutional investors. Although we include prominent risk warnings and disclaimers on our apps throughout the transaction process and, in accordance with relevant regulations, have designed an appropriateness test to assess the level of experience and risk level of the client to assess whether certain services or products are appropriate for such client, there is no guarantee that the appropriateness test for any product is 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Clients who have suffered from unfavorable trading results, financial losses, or even liquidity issues in connection with the financial losses may attribute their losses to us and/or may discontinue trading with us, which may have a material and adverse effect on our business and results of operation. Some clients who have suffered substantial losses on Solomon JFZ’s platform may seek to recover their damages from us or bring lawsuits against us. These allegations against us, regardless of their veracity, may negatively affect our reputation and clients’ confidence with us. If we were to become the subject of any unfavorable allegations or lawsuits, whether such allegations are proven to be true or untrue and regardless of the outcome of the lawsuits, we may have to expend a significant amount of resources to investigate and/or defend itself, which could divert our management’s attention from the day-to-day operations. In addition, if any litigation or other legal proceeding to which we are a party is resolved adversely, we may be ordered to pay a substantial amount of damages or compensation to the other party, which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regulatory capital requirements set by local regulatory authorities could materially and negatively affect our business operation and overall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our major operating subsidiary in Hong Kong, is subject to various regulatory capital requirements, including minimum capital requirements, capital ratios and buffers established by competent authorities in their respective jurisdiction. Failure to meet minimum capital requirements can initiate certain mandatory, and possibly additional discretionary actions by regulators that, if undertaken, could have a direct material effect on our business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Solomon JFZ is in compliance with its respective regulatory capital requirements. However, if Solomon JFZ fails to remain well-capitalized for regulatory purposes, CIMA and HKSFC may take actions against it and its business operation, and we may face penalties, including limitations and prohibitions on our business activities or suspension or revocation of our licenses and trading rights. This could affect client confidence, our ability to grow, our costs of funds and professional insurance costs, our ability to pay dividends on Ordinary Shares, our ability to make acquisitions, and in turn,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risk management policies and procedures may not be adequate and effective, which may expose us to unidentified or unexpected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activities expose us to various risks, including regulatory environment risk, market condition risk, credit risk, liquidity risk, capital adequacy risk and operational risk. We are dependent on our risk management policies and procedures and adherence to our Internal Control and Compliance Manual as well as the latest regulatory policies and procedures by our staff to manage the risks inherent in our business. Nonetheless, our policies and procedures to identify, monitor and manage risks may not be fully effective in mitigating our risk exposure in all market environments or against all types of risks. Some of our methods for managing risks are discretionary by nature and are based on internally developed controls and observed historical market behavior, and also involve reliance on standard industry practices. Many of our risk management policies are based upon observed historical market behavior or statistics based on historical models. During periods of market volatility or due to unforeseen events, the historically derived correlations upon which these methods are based may not be valid. As a result, these methods may not predict future exposures accurately, which could be significantly greater than what our models indicate. This could cause us to incur losses or cause our risk management strategies to be ineffective.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fail to update our risk management system as needed or as fast as the industry evolves, which may weaken our ability to identify, monitor and control new risks. Other risk management methods depend upon the evaluation of information regarding markets, clients, catastrophe occurrence or other matters that are publicly available or otherwise accessible to us, which may not always be accurate, complete, up-to-date or properly evaluated. These may adversely affect our results of operations and financial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HK Subsidiaries is Hong Kong dollars. However, the financial statements we provided to you and filed with the SEC are presented in U.S. dollars. Our assets and liabilities denominated in foreign currencies are translated at year-end rates of exchange, whereas the income statement accounts are translated at average rates of exchange for the year. Any such translation may result in gains or losses, which are recorded under other comprehensive income (loss) in the financial statements. Changes in the exchange rates between the Hong Kong dollars or other currencies to the U.S. dollars could have a material effect on our results of operations. The value of Hong Kong dollars against U.S. dollars and other currencies is affected by a variety of factors which are beyond our control, including, among other things, changes in Hong Kong’s or China’s political and economic conditions. Changes in the conversion rate between the U.S. dollar and the Hong Kong dollar will affect that amount of proceeds we will have available for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1983, Hong Kong dollars have been pegged to the U.S. dollars at the rate of approximately HK$7.80 to $1.00. We cannot assure you that this policy will not be changed in the future. If the pegging system collapses and Hong Kong dollars suffer devaluation, the Hong Kong dollar cost of our expenditures denominated in foreign currency may increase. This would in turn adversely affect the operations and profitability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reputation, or the reputation of our industry as a whole,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reputation of our brand is critical to our business and competitiveness. If we fail, or are perceived to have failed, to deal with issues that may give rise to reputational risk, our business and prospects may be harmed. Such issues may include mishandling client complaints, potential conflicts of interest, privacy breaches, client data leak, improper sales practices, as well as failures to identify legal, credit, liquidity, and market risks inherent in our business. Failure to appropriately address these issues could reduce clients’ confidence in us or increase client attrition rate, which may adversely affect our reputation and business. In addition, any malicious or negative allegation made by the media or other parties about the foregoing or other aspects of us, including our management, business, compliance with law, financial condition or prospects, whether with merit or not, could severely compromise our reputation and harm our business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about the securities brokerage industry in general may also have a negative impact on our reputation, regardless of whether we have engaged in any inappropriate activities. Moreover, negative publicity about our partners, service providers or other counterparties, such as negative publicity about their client complaints and any failure by them to adequately protect the information of our investors and borrowers, to comply with applicable laws and regulations or to otherwise meet required quality and service standards could harm our reputation. If any of the foregoing takes place, our business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had incurred net losses in the past, and we may incur losses again in the future.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net income of $1.35 million in the fiscal year ended March 31, 2023. However, we had a net loss of $4.56 million and $0.98 million in the fiscal years ended March 31, 2024 and 2022, respectively. We cannot assure you that we will be able to generate net income in the future. We anticipate that our operating costs and expenses will increase in the foreseeable future as we continue to grow our business, attract new clients, enhance our risk management capabilities and increase our brand recognition. These efforts may prove more costly than we currently anticipate, and we may not succeed in increasing our revenue sufficiently to offset these higher expenses. There are other external and internal factors that could negatively affect our financial condition. For example, the trading volume achieved on Solomon JFZ’s platform may be lower than expected, which may lead to lower than expected revenues. Furthermore, we may adopt a new share incentive plan in the future, which will result in significant share based compensations to us. We generated approximately 1%, 2% and 57%, of our total revenues from securities related services charged to our clients who trade on our platform in fiscal years ended March 31, 2024, 2023 and 2022, respectively. Any material decrease in our commissions would have a substantial impact on our financial conditions. As a result of the foregoing and other factors, we may continue to incur net losses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a number of external service providers for technology, processing and supporting functions, and if they fail to provide these services, it could adversely affect our business and harm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a number of external service providers in providing services to our clients for technology, processing and supporting functions, including, other market makers to which we pass on certain orders, referring brokers we collaborate with for client acquisition, custody banks, securities exchanges, clearing agents and online payment service providers. Furthermore, external content providers provide us with financial information, market news, charts, option and stock quotes and other fundamental data that we offer to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service providers face technical, operational and security risks of their own. Any significant failures by them, including improper use or disclosure of their confidential client, employee or company information, deterioration in their performance, interruption in these third-party services or software, or other improper operation could interfere with our trading activities, cause losses due to erroneous or delayed responses, harm our reputation or otherwise be disruptive to our business. For instance, when there is a sudden surge in trading volume caused by a large amount of concurrent orders, usually subsequent to a major social event, we may not be able to retrieve the real-time quote due to delays or interruptions of third party systems, which may cause a delay in the exercise of automatic settlements initiated by our risk management system. Such delays may result in negative balance in our clients’ account and a potential loss to it. Also, we have contracted with external payment service providers to facilitate our clients’ payment procedures for trading and transactions through our platform. Any failure by these service providers to continue with good business operations, comply with applicable laws and regulations or any negative publicity on these parties could damage our reputation, expose us to significant penalties and decrease our total revenues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if our arrangements with any of these external service providers are terminated, we may not be able to find an alternative source to support us on a timely basis or on commercially reasonable terms. This could also have a material adverse effect on our business, financial condition and results of operations. For instance, Solomon JFZ’s online trading business is conducted through the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platform, which is licensed from third-party Hundsun Ayers Technologies Limited (“Hundsun Ayers”) and can be easily accessed via our app, software, and websites. The platform offers clients seamless, efficient, and secure access to comprehensive brokerage and value-added services such as trade execution, account management, and customer support. The license is renewed annually, and we may change providers based on cost, technical support, and customization needs. However, if we are unable to continue obtaining licenses from Hundsun Ayers, it would take us several months to launch a new platform that meets our user experience needs. In addition, Solomon JFZ conducts the securities trading management and settlement services through Hundsun UFG 3.0 system, which was supported by third party Hundsun Ayers. The system has been customized for our use and provides client account management and trade settlement services. Due to Hundsun Ayers’ leading position with over 50% market share in one-stop trading solutions, we have limited options for changing service providers. Furthermore, our KYC procedures are performed through the World-Check One screening system, supported by Refinitiv, a leading provider of financial market data and infrastructure. Solomon JFZ uses World-Check One for essential screening during account opening and ongoing risk monitoring, which supports its due diligence efforts against financial crime, bribery, and corruption. However, if World-Check One’s service becomes unavailable, our compliance efficiency may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failure in our information technology, or IT, systems could cause interruptions in our services, undermine the responsiveness of our services, disrupt our business, damage our reputation and cause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IT systems support all phases of our operations. If our systems fail to perform, we could experience disruptions in operations, slower response time or decreased client satisfaction. We must process, record and monitor a large number of transactions and our operations are highly dependent on the integrity of our technology systems and our ability to make timely enhancements and additions to our systems. System interruptions, errors or downtime can result from a variety of causes, including unexpected interruptions to the internet infrastructure, technological failures, changes to our systems, changes in client usage patterns, linkages with third-party systems and power failures. Our systems are also vulnerable to disruptions from human error, execution errors, errors in models such as those used for risk management and compliance, employee misconduct, unauthorized trading, external fraud, computer viruses, distributed denial of service attacks, computer viruses or cyber-attacks, terrorist attacks, natural disaster, power outage, capacity constraints, software flaws, events impacting our key business partners and vendors, and other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could take an extended period of time to restore full functionality to our IT systems or other operating systems in the event of an unforeseen occurrence, which could affect our ability to process and settle client transactions. Moreover, instances of fraud or other misconduct might also negatively impact our reputation and client confidence in us, in addition to any direct losses that might result from such instances. Despite our efforts to identify areas of risk, oversee operational areas involving risks, and implement policies and procedures designed to manage these risks, there can be no assurance that we will not suffer unexpected losses, reputational damage or regulatory actions due to technology or other operational failures or errors, including those of our vendors or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devote substantial attention and resources to the reliability, capacity and scalability of our systems, extraordinary trading volume could cause our computer systems to operate at unacceptably slow speeds or even fail, affecting our ability to process client transactions and potentially resulting in some clients’ orders being executed at prices they did not anticipate. Disruptions in service and slower system response time could result in substantial losses and decreased client satisfaction. We are also dependent on the integrity and performance of securities exchanges, clearinghouses and other intermediaries to which client orders are routed for execution and clearing. System failures and constraints and transaction errors at such intermediaries could result in delays and erroneous or unanticipated execution prices, cause substantial losses for our clients and for ourselves, and subject us to claims from our clients for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a disaster recovery and business continuity plan, which is intended to minimize service interruptions and secure data integrity, however, our plan may not work effectively during an emergency. IT system failures may lead to interruption of our operations, which in turn will prevent our clients from trading and hence significantly reduce client satisfaction and confidence in us, cause loss or reduce potential gain for our clients, or cause regulatory authorities’ investigation and penalization. Any such system failure could impair our reputation, damage our brand, subject us to claims and materially and adversely affect our business, financial condition, operating results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third-party systems upon which we rely could adversely affect our business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rapid pace of technological changes in online securities brokerage industry, as described above parts of our business rely on technologies developed or licensed by third parties, for example, Solomon JFZ conducts securities related and online trading business through a trading platform licensed from third parties. Any interruption in the third parties’ services, or deterioration in the third parties’ performance or quality could adversely affect Solomon JFZ’s business operation. Moreover, Solomon JFZ may not be able to obtain or continue to obtain licenses and technologies from these third parties on reasonable terms, or at all, which could materially impact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cyber-attacks, computer viruses, physical or electronic break-ins or similar disruptions on us our external service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JFZ’s platform collects, stores and processes certain personal and other sensitive data from our users. The massive data that we have processed and stored makes us or external service providers who host our servers a target and potentially vulnerable to cyber-attacks, computer viruses, physical or electronic break-ins or similar disruptions. While we have taken steps to protect the confidential information that we have access to, our security measures could be breached. Because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 could cause confidential information to be stolen and used for criminal purposes. As personally identifiable and other confidential information is increasingly subject to legislation and regulation in numerous jurisdictions, any inability to protect confidential information of our clients could result in additional cost and liability for us, damage our reputation, inhibit the use of our platform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indirect technology, cybersecurity and operational risks relating to the third parties whom we work with to facilitate or enable our business activities. As a result of increasing consolidation and interdependence of technology systems, a technology failure, cyber-attack or other information or security breach that significantly compromises the systems of one entity could have a material impact on our counterparties. Any cyber-attack, computer virus, physical or electronic break-ins or similar disruptions of such third-party service providers could, among other things, adversely affect our ability to serve our users, and could even result in the misappropriation of funds of our investors and borrowers. If that were to occur, both we and third-party service providers could be held liable to clients who suffer losses from the misappropriation.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or unauthorized access to confidential information could also expose us to risk relating to misappropriation of funds of our clients, which may subject us to liabilities, reduce the attractiveness of our marketplace and cause reputational harm and adversely impact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invest significantly in research and development, and to the extent our research and development investments are not directed efficiently or do not result in material enhancements to our technology competencies, our business and results of operations would be harmed.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element of our strategy is to invest significantly in our research and development efforts to enhance the features, functionality, performance, security, availability and ease of use of Solomon JFZ’s platform and software offerings to address additional applications and use cases that will broaden the appeal of Solomon JFZ’s platform and facilitate the broad use of its platform across customers with digital transformation needs. If we do not spend our research and development budget efficiently or effectively on compelling enhancements, innovations and technologies, our business may be harmed, and we may not realize the expected benefits of our strategy at all or on the timeline we expect. We will need to appropriately deploy our human resources and may need to hire new employees with highly technical skills, or we may not be able to effectively execute on our research and development strategy. Moreover, research and development projects can be technically challenging and expensive. As a result of the nature of research and development cycles, there will be delays between the time we incur expenses associated with research and development activities and the time we are able to offer compelling enhancements to Solomon JFZ’s platform and software offerings and generate revenue, if any, from those activities. Additionally, anticipated customer demand for a platform or application enhancement we are developing could decrease after the development cycle has commenced. If we expend a significant amount of resources on research and development efforts that do not lead to the successful introduction of functionality or platform improvements that are competitive in our current or future markets, our business and results of operations will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encounter potential conflicts of interest from time to time, and the failure to identify and address such conflicts of interest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the possibility of actual, potential, or perceived conflicts of interest in the ordinary course of our business operations. Conflicts of interest may exist between (i) our different businesses; (ii) us and our clients; (iii) our clients; (iv) us and our employees; and (v) our clients and our employees. As we expand the scope of our business and client base, it is critical for us to be able to timely address potential conflicts of interest, including situations where two or more interests within our businesses naturally exist but are in competition or conflict. However, appropriately identifying and managing actual, potential, or perceived conflicts of interest is complex and difficult, and our reputation and our clients’ confidence in us could be damaged if we fail, or appears to fail, to deals appropriately with one or more actual, potential, or perceived conflicts of interest. It is possible that actual, potential, or perceived conflicts of interest could also give rise to client dissatisfaction, litigation, or regulatory enforcement actions. Regulatory scrutiny of, or litigation in connection with, conflicts of interest could have a material adverse effect on our reputation, which could materially and adversely affect our business in a number of ways, including a reluctance of some potential clients and counterparties to do business with us. Any of the foregoing could materially and adversely affect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derived a substantial portion of revenue from a small number of key clients.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derived a substantial portion of our revenue from a small number of key clients. We had a concentration of revenues of 92%, 78% and 84% from the top five customers for the years ended March 31, 2024, 2023 and 2022,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significant growth in the number of customers due to our reliable and secure trading platform, comprehensive brokerage and value-added services and superior user experience. From the fiscal year 2022 to the fiscal year 2024, our client base increased at a CAGR of 0.4% from approximately 15,300 to 15,500. As of March 31, 2024, we had more than 15,500 clients who had opened trading accounts with us and over 1,200 active clients who were registered and had assets in their trading accounts. However, a fast increase in client base did not immediately result in revenue growth due to poor equity market performance in Hong Kong and a lack of attractive IPOs in the Hong Kong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was initially primarily derived from securities-related services which is typically highly correlated with the size of the client base. We successfully diversified our revenue sources during fiscal years 2024 and 2023. Our significant growth in revenue, at a CAGR of 15%, from the fiscal year 2022 to the fiscal year 2024, was mainly attributable to our revenue diversification strategy by adding investment advisory services, corporate consultancy services and asset management services. In the fiscal year ended March 31, 2024, our top five customers represented approximately 29%, 26%, 19%, 12% and 6% of the total revenue, respectively, which consisted of one from the securities brokerage segment, three from the investment advisory service segment, and one from the asset management service segment. In the fiscal year ended March 31, 2023, our top five customers represented approximately 30%, 13%, 13%, 11% and 11% of the total revenue, respectively, which consisted of one from the securities brokerage segment, three from the investment advisory service segment, and one from the corporate consultancy service segment. In the fiscal year ended March 31, 2022, our top five customers represented approximately 51%, 17%, 10%, 3% and 3% of the total revenue, respectively, which consisted of two from securities brokerage, two from investment advisory service, and one from asset management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inherent risks whenever a large percentage of revenues are concentrated in a limited number of clients. It is not possible for us to predict the future level of demand for our services that will be generated by these key clients. In addition, revenues from our larger clients have historically fluctuated and may continue to fluctuate based on their trading volume. If these key clients trade less frequently on our platform or suspend or terminate their relationship with us, our business and results of operation will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implement new business lines, or introduce new products and services to our clients, or we may fail to successfully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dependent upon on our ability to implement new business lines and offer new products and services, to better respond to market changes and clients’ evolving needs. There are substantial risks and uncertainties associated with these efforts, particularly in instances where the markets are not fully developed. We may invest significant time and resources in developing and marketing new lines of business and/or new products and services. Initial timetables for the introduction and development of new lines of business and/or new products or services may not be achieved and price and profitability targets may not prove feasible. External factors, such as compliance with regulations, competitive alternatives and shifting market preferences, may also impact the successful implementation of a new line of business or a new product or service. In addition, new service offerings may not be accepted by the market or be as profitable as we expect. Furthermore, any new line of business and/or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strategy to expand business operation and enter into new markets may subject us to additional risks. As we enter into markets that are new to us, we must tailor our services and business model to the unique circumstances of such countries and markets, which can be complex, difficult, costly and divert management and personnel resources. In addition, we may face competition in other countries from companies that may have more experience with operations in such countries or with global operations in general. To continue to expand our services internationally, we may have to comply with the regulatory controls of each country in which we conduct or intend to conduct business, the requirements of which may not be clearly defined. Even if we expand our businesses into new jurisdictions or areas, the expansion may not yield intended profitable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Fraud, misconduct or errors by our directors, officers, employees, agents and other third-party service providers could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always possible to identify and deter fraud, misconduct or errors by directors, employees, agents or external service providers, and the precautions we take to detect and prevent this activity may not be effective in controlling unknown or unmanaged risks or losses. Fraud or misconduct by any of these persons or entities may cause us to suffer significant reputational harm and financial loss or result in regulatory disciplinary actions. The potential harm to our reputation and to our business caused by such fraud or misconduct is impossible to quantify.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number of obligations and standards arising from our business. The violation of these obligations and standards by any of our directors, officers, employees, agents, clients, or other third parties could materially and adversely affect us and our investors. For example, we are required to properly handle confidential information. If our directors, officers, employees, agents, clients, or other third parties were to improperly use or disclose confidential information, we could suffer serious harm to our reputation, financial position, and existing and future business relationships. Although we have not identified any material fraud or misconduct by our directors, officers, employees, agents, clients, or other third parties since Solomon JFZ commenced its current business in 2016, if any of these persons or entities were to engage in fraud or misconduct or were to be accused of such fraud or misconduct, our business and reputation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decrease in our liquidity could negatively affect our business and financial management as well as reduce client confidence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adequate liquidity is crucial to our business operations. We are subject to liquidity and capital adequacy requirements in Hong Kong, China and Cayman Islands. We meet our liquidity needs primarily through cash generated by operating activities and capital contribution, as well as cash provided by external financing. Fluctuations in client cash or deposit balances, as well as changes in regulatory treatment of client deposits or market conditions, may affect our ability to meet our liquidity needs. A reduction in our liquidity position could reduce our clients’ confidence, which could result in the loss of client trading accounts or cause us to fail to satisfy liquidity requirements of regulatory authorities. In addition, failure to meet regulatory capital guidelines can result in investigations and regulatory actions, which may lead to penalties, including reprimands, fines, limitations or prohibitions on our future business activities or suspension or revocation of our licenses or trading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ability to satisfy our liquidity and capital needs may be affected by a variety of factors, some of which are beyond our control, including, macroeconomic and socio-political conditions, fluctuations in cash or deposit balances, increased capital requirements, changes in regulatory guidance or interpretations, or other regulatory changes. If cash generated by client trading activities and operating earnings is not sufficient for our liquidity needs, we may be forced to seek external financing. During periods of disruptions in the credit and capital markets, potential sources of external financing could be reduced, and borrowing costs could increase. Financing may not be available on acceptable terms, or at all, due to market conditions or disruptions in the credit markets. If we experience any significant decrease in our liquidity, our business, financial condition and results of operations could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succeed in promoting and sustaining our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developing and maintaining awareness of our brand effectively is critical to attracting new and retaining existing clients to our platform. This depends largely on the effectiveness of our marketing efforts and the success of the channels we use to promote our marketplace. If any of our current marketing channels become less effective, if we are unable to continue to use any of these channels, if the cost of using these channels were to significantly increase or if we are not successful in generating new channels, we may not be able to attract new investors and borrowers in a cost-effective manner or convert potential investors and borrowers into active investors and borrowers on our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build our brand may not result in increased revenues in the immediate future or at all and, even if they do, any increases in revenues may not offset the expenses incurred. If we fail to successfully promote and maintain our brand while incurring substantial expenses, our results of operations and financial condition would be adversely affected, which may impair our ability to grow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our know-your-customer, or KYC procedures when our clients provide outdated, inaccurate, false or misleading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collect client information during the account opening and during registration for members and we screen accounts against public databases and collaborate with external know-your-customer (KYC)/ anti-money laundering (AML) vendors for the purpose of verifying client identity and detecting risks. Although we require our clients to submit documents for proof of their identity and address for completing the account registration and to update such information from time to time, we face risks as the information provided by our clients may be outdated, inaccurate, false or misleading. We cannot fully confirm the accuracy, currency and completeness of such information beyond reasonable effort. For example, to reduce the risk of being subject to complex U.S. laws and regulations, we do not allow U.S. citizens or residents to open an account with us. We require our potential clients to provide their passports or identity cards as well as self declaration about the foreign status of beneficial owner, we have licensed personnel review the applications and resolve KYC results before approving for account opening. However, if a potential client only provides his PRC identity card, which is usually valid for 10 years or more, and misinforms us that he does not also possess a U.S. passport or permanent resident card, we might not be able to detect such misinformation. In addition, as a client who is not a U.S. citizen or resident at the time of account registration may later obtain U.S. citizenship or residential status and fail to update us in a timely manner, our customer database might not be entirely accurate at all times. Despite our efforts to exclude persons who reside in jurisdictions where we have no license or permit such as the United States, our provision of products and services to such clients could be in violation of the applicable laws and regulations in those jurisdictions, of which we may have no awareness until we are warned by the relevant supervising authorities. Despite our safeguards, we could still be subject to certain legal or regulatory sanctions, fines or penalties, financial loss, or damage to reputation resulting from such violations. In particular, following the consummation of the Business Combination, as we become increasingly renowned in the United States and worldwide, there is no assurance that we will be able to successfully identify and exclude all persons who resides in jurisdictions where we have no license or permit to operate, including the United States. If U.S. citizens and residents were to register on and begin using our platform, we may be subject to the scrutiny of U.S. regulatory agencies and required to comply with applicable laws and regulations in the United States, including the requirements to obtain relevant licenses and permits for providing our products to U.S. citizens and residents. We currently do not intend to apply for such licenses and permits in the United States, and if we determine to do so, there is no guarantee that we will successfully obtain such licenses in a timely fashion, or at all. We could be subject to disciplinary or other actions by the U.S. regulatory agencies due to claimed noncompliance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clients may engage in fraudulent or illegal activities on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stringent internal control policies, insider trading, anti-money laundering and other anti-fraud rules and mechanisms on our platform, for example, we cooperated with third party search system service provider to check if our clients are politically exposed persons or on certain sanction lists (including but not limited to the lists of money laundering, terrorist financing or other crimes). Nevertheless, we remain subject to the risk of fraudulent or illegal activities both on our platform and associated with our clients, funding and other business partners, and third parties handling client information. Our resources, technologies and fraud detection tools may be insufficient to accurately detect and prevent fraudulent or illegal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misbehavior of or violation by our clients of applicable laws and regulations could lead to regulatory inquiries and investigations that involve it, which may affect our business operation and prospects. We might also incur higher costs than expected in order to take additional steps to reduce risks related to fraudulent and illegal activities. High-profile fraudulent or illegal activities, for example, money laundering, insider trading and securities fraud, could also lead to regulatory intervention, and may divert our management’s attention and cause us to incur additional regulatory and litigation expenses and costs. Although our client agreements require clients to acknowledge that they will observe all insider trading, money laundering and securities fraud laws and regulations in applicable jurisdictions and to assume liabilities for all restrictions, penalties and other responsibilities arising from conducts suspected to constitute insider trading, money laundering and/or, securities fraud, we cannot verify whether every transaction conducted by our clients is in compliance with such laws and regulations because our clients may circumvent our due diligence measures to commit insider trading and/or money laundering. Significant increases in fraudulent or illegal activities could negatively impact our brand and reputation, reduce the trading volume on our platform and therefore harm our operating and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also suffer serious harm to our reputation, financial condition, client relationships and even be subject to regulatory sanctions and significant legal liability, if any of our employees engage in illegal or suspicious activities or other misconduct. Although we have not experienced any material business or reputational harm as a result of fraudulent or illegal activities in the past, we cannot rule out the possibility that any of the foregoing may occur, causing harm to our business or reputation in the future. If any of the foregoing were to occur, our results of operations and financial conditions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Legislative and regulatory changes may adversely affect the use, transfer, exchange and value of virtual assets.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Residents, tax residents or persons having a relevant connection with certain jurisdictions are excluded from carrying out virtual asset transactions in Hong Kong. Changes in the investor’s place of domicile or the applicable laws may result in the investor violating any legal or regulatory requirements of the applicable jurisdiction with respect to virtual assets. The investor is responsible for ensuring that any virtual assets transaction is, and remains lawful despite changes to applicable laws, the investor’s place of domicile and circumstances.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related to virtual assets such as virtual asset ETFs may be overseen by the legal and regulatory authorities of a number of jurisdictions globally. We may receive notices, queries, warnings, requests or rulings from one or more authorities upon short notice, or may even be ordered to suspend or terminate any action in connection with any virtual asset related securities as a whole without prior notice. Furthermore, many aspects of virtual asset related securities involve untested areas of law and regulation and could be subject to new laws or regulations. Therefore, their legal and regulatory outcome in all relevant jurisdictions is not possible to predict. The planning, development, marketing, promotion, execution or otherwise of the virtual assets may be seriously affected, hindered, postponed or terminated as a result of such new laws and/or regulations. Since regulatory policies can change with or without prior notice, any existing regulatory permissions for or tolerance of virtual assets in any jurisdiction may be withdrawn without warning. Cryptographic-tokens and cryptocurrencies could be deemed from time to time as a commodity or virtual commodity, a digital asset or even as money, securities or currency in various jurisdictions and therefore virtual asset related securities could be prohibited from being purchased, traded or held in certain jurisdictions pursuant to local regulations. In turn, the virtual assets could be deemed to be a regulated or restricted product. There is no guarantee that virtual assets can maintain any particular legal or regulatory status in any particular jurisdiction at any time.  Changes in regulatory circumstances may impact our ability to provide virtual assets trading or advisory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nature of virtual assets exposes us to an increased risk of fraud or cyberattack.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Attempts to steal virtual assets on Solomon JFZ’s trading platform may occur due to the inherent nature of virtual assets, which exposes customers to an increased risk of fraud or cyberattack. Virtual assets, investor accounts, custodian exchange services, and our system may be targeted by malicious actors who may attempt to steal virtual assets or fiat currency, or otherwise intervene in a virtual asset transaction or any service provided by the Company.  These threats include, without limitation, distributed denial of service, cyberattacks, phishing, social engineering, hacking, smurfing, malware, double spending, majority-mining, consensus-based or other mining attacks, misinformation campaigns, forking and spoofing.  Such events can adversely affect our operations, preventing us from providing services, and potentially result in regulatory investigations. Under new Item 106 of Regulation S-K, we are required to promptly report material cybersecurity incidents. If we suffer a significant cybersecurity breach, the market price of our Ordinary Shares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Malicious entities may also target the investor directly in an attempt to steal any asset held by the investor, or to claim any asset that the investor may have purchased. This may involve unauthorized access to accounts with us, private keys, addresses, passwords, email or social media accounts, log-in details or devices such as computers and smartphones used by the investor. Even if the loss of virtual assets is due to investor error, dissatisfaction with our services may arise, adversely affecting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adequate sources of recovery if the virtual assets held by us are lost, stolen or destroyed due to third-party virtual assets custodial services or if we cannot redeem or withdraw our virtual assets invested in crypto lending or investing activities. Such incidents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Solomon JFZ provides trading of various virtual assets trading in the regulated digital assets trading exchanges, including Bitcoin, Ethereum, Bitcoin spot ETF and Ethereum spot ETF, supporting in kind subscription of virtual assets spot ETF. Substantially all of our virtual assets were held in custody on Solomon VA+, licensed from third-party Hundsun Ayers. We believe that the security procedures that Hundsun Ayers utilizes, such as issuing username, password and hardware tokens, are reasonably designed to safeguard Bitcoin, Ethereum, Bitcoin spot ETF and Ethereum spot ETF and other virtual assets from theft, loss, destruction or other issues relating to hackers and technological attack. Nevertheless, the security procedures cannot guarantee the prevention of any loss due to a security breach, software defect or act of God that may be borne by us. If such virtual assets are lost, stolen or destroyed under circumstances rendering a third party liable to us, it is possible that Hundsun Ayers may not have the financial resources or insurance sufficient to satisfy any or all of our claims against the third party, or have the ability to retrieve, restore or replace the lost, stolen or destroyed cryptocurrencies due to governing network protocols and the strength of the cryptographic systems associated with such virtual assets. To the extent that we are unable to recover on any of our claims against any such third party, such loss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services are commercially available, we will consider adding regulated banks, rather than solely relying on crypto custodian, as the custodian for a material amount of our cryptocurrencies. Obtaining cryptocurrency custody services from a regulated bank may confer benefits such as improved security and reduced fraud. Nevertheless, until now, banks have generally declined to provide custody services for cryptocurrencies and other virtual assets, due to the absence of clarity on permissibility and on regulators’ views of these activities generally in Hong Kong.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business depends on the continued efforts of our senior managements, Mr. Shing Tak Tam, Ms. Lili Liu, Mr. Tze Bun Cheng and Mr. Pong Ming Ting. If one or more of our key executives were unable or unwilling to continue in their present positions, our business may be severely disrupted.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depend on the continued services of our senior management. While we provide a variety of attractive incentives to our management, we cannot assure you that we can continue to retain their services. We cannot assure you that our existing senior management members will not terminate their employment with us in the future. In addition, we do not have any key man insurance for our executive officers or key employees. If one or more of our key executives were unable or unwilling to continue in their present positions, we may not be able to replace them easily or at all, our future growth may be constrained, our business may be severely disrupted and our financial condition and results of operations may be materially and adversely affected, and we may incur additional expenses to recruit, train and retain qualified personnel. In addition, there is no assurance that any member of our management team will not join one of our competitors or form a competing business. If any dispute arises between us and our current or former officers, we may have to incur substantial costs and expenses in order to enforce such agreements in China or we may be unable to enforce them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User growth and activity on mobile devices depend upon effective use of mobile operating system, networks and standards, over which we do not have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a majority of our clients access our services through PC, however, we expect to see a growing number of our clients access our services through our mobile apps in the future. As new mobile devices and platforms are released, it is difficult to predict the problems we may encounter in developing applications for these new devices and platforms, and we may need to devote significant resources to the development, support and maintenance of such applications. In April 2021, Solomon JFZ launched its newly developed all-in-one Solomon app. There are substantial uncertainties associated with the newly launched app, including compatibility with mobile operating systems, and we cannot assure you we could operate successfully or as we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future growth and our results of operations could suffer if we experience difficulties in the future in integrating our services into mobile devices or if problems arise with our relationships with providers of mobile operating systems or mobile app stores, or if we face increased costs to distribute or have users utilize our services on mobile devices. We are further dependent on the interoperability of providing our services on popular mobile operating systems that we do not control, such as iOS, Android and PC platform, and any changes in such systems that degrade the accessibility of our services or give preferential treatment to competing products could adversely affect the usability of our services on mobile devices. In the event that it is more difficult for our users to access and utilize our services on their mobile devices, or if our users choose not to access or utilize our services on their mobile devices or to use mobile operating systems that do not offer access to our services, our user growth could be harmed and our business, financial condition and operating results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our intellectual property, which could harm our business and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trademarks,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Despite these measures, any of our intellectual property rights could be challenged, invalidated, circumvented or misappropriated, or such intellectual property may not be sufficient to provide us with 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often difficult to maintain and enforce intellectual property rights.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Preventing any unauthorized use of our intellectual property is difficult and costly and the steps we take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 To the extent that our employees or consultants use intellectual property owned by others in their work for us, disputes may arise as to the rights in related know-how and inventions. Any failure in protecting or enforcing our intellectual property rights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intellectual property infringement claims, which may be expensive to defend and may disrupt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our operations or any aspects of our business do not or will not infringe upon or otherwise violate trademarks, patents, copyrights, know-how or other intellectual property rights held by third parties. We may be from time to time in the future subject to legal proceedings and claims relating to the intellectual property rights of others. In addition, there may be third-party trademarks, patents, copyrights, know-how or other intellectual property rights that are infringed by our products, services or other aspects of our business without our awareness. Holders of such intellectual property rights may seek to enforce such intellectual property rights against us in Hong Kong, PRC, the Cayman Islands, the United States or other jurisdictions. If any third-party infringement claims are brought against us, we may be forced to divert management’s time and other resources from our business and operations to defend against these claims, regardless of their merits. If we were found to have violated the intellectual property rights of others, we may be subject to liability for our infringement activities or may be prohibited from using such intellectual property, and we may incur licensing fees or be forced to develop alternatives of our own. As a result, our business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no business liability or disruption insurance, which could expose us to significant costs and business disruption.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industry in Hong Kong is still at an early stage of development, and insurance companies in China currently offer limited business-related insurance products. We do not have any business liability or disruption insurance to cover our HK Subsidiaries’ business operations. We have determined that the costs of insuring for these risks and the difficulties associated with acquiring such insurance on commercially reasonable terms make it impractical for us to have such insurance. Any uninsured risks may result in substantial costs and the diversion of resources, which could adversely affect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r>
        <w:rPr>
          <w:smallCaps/>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Solowin relies on dividends and other distributions on equity paid by its subsidiaries to fund any cash and financing requirements Solowin may have, and any limitation on the ability of its subsidiaries to make payments to Solowin could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and it relies on dividends and other distributions on equity paid by its subsidiaries for Solowin’s cash and financing requirements, including the funds necessary to pay dividends and other cash distributions to its shareholders and service any debt it may incur. While Solowin does not expect to pay cash dividends in the foreseeable future, if any of its subsidiaries incurs debt on their own behalf in the future, the instruments governing the debt may restrict such subsidiary’s ability to pay dividends or make other distributions to Solowin.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(As Revised) of the Cayman Islands permits, subject to a solvency test and the provisions, if any, of the Company’s Amended and Restated Memorandum and Articles of Association, the payment of dividends and distributions out of the share premium account. With the exception of the foregoing, there are no statutory provisions relating to the payment of dividends. Based upon English case law, which is regarded as persuasive in the Cayman Islands, dividends may be paid only out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Hong Kong law, dividends could only be paid out of distributable profits (that is, accumulated realized profits less accumulated realized losses) or other distributable reserves. Dividends cannot be paid out of share capital. Under the current practice of the Inland Revenue Department of Hong Kong, no tax is payable in Hong Kong in respect of dividends paid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in the future, funds may not be available to fund operations or for other use outside of Hong Kong, due to interventions in, or the imposition of restrictions and limitations on, our ability or on our subsidiaries’ ability by the PRC government to transfer cash. Any limitation on the ability of our HK Subsidiaries to pay dividends or make other distributions to us could materially and adversely limit our ability to grow, make investments or acquisitions that could be beneficial to our business, pay dividends, or otherwise fund and conduct our business. In addition, if any of our HK subsidiaries incur debt on its own behalf in the future, the instruments governing such debt may restrict their ability to pay dividends.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substantially increased costs as a result of being a public company.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 significant legal, accounting, and other expenses as a public company that we did not incur as a private company. The Sarbanes-Oxley Act of 2002, as well as rules subsequently implemented by the SEC and Nasdaq, impose various requirements on the corporate governance practices of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rules and regulations increases our legal and financial compliance costs and makes some corporate activities more time-consuming and costlier. In addition, we will incur additional costs associated with our public company reporting requirements. It may also be more difficult for us to find qualified persons to serve on our board of directors or as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will remain an emerging growth company until the earlier of (1) the last day of the fiscal year (a) following the fifth anniversary of the completion of our initial public offering, (b) in which we have total annual gross revenue of at least $1.235 billion, or (c) in which we are deemed to be a large accelerated filer, which means the market value of the Ordinary Shares that is held by non-affiliates exceeds $700 million as of the prior September 30, and (2) the date on which we have issued more than $1.0 billion in non-convertible debt during the prior three-year period. An emerging growth company may take advantage of specified reduced reporting and other requirements that are otherwise applicable generally to public companies. These provisions include exemption from the auditor attestation requirement under Section 404 in the assessment of the emerging growth company’s internal control over financial reporting and permission to delay adopting new or revised accounting standards until such time as those standards apply to private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we are no longer an “emerging growth company,” or until five years following the completion of our initial public offering, whichever is earlier, we expect to incur significant additional expenses and devote substantial management effort toward ensuring compliance with the requirements of Section 404 and the other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resurgence of the COVID-19 pandemic could have a material adverse impact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outbreak led governments across the globe to impose a series of measures intended to contain its spread, including border closures, travel bans, quarantine measures, social distancing, and restrictions on business operations and large gatherings. The outbreak of COVID-19 caused companies like us and our business partners to implement temporary adjustments to work schedules and travel plans, mandating employees to work from home and collaborate remotely. As a result, we may have experienced lower efficiency and productivity, internally and externally, which may adversely affect our service quality. Moreover, our business depends on our employees. If any of our employees has contracted or is suspected of having contracted COVID-19, these employees will be required to be quarantined and they could pass it to other of our employees, potentially resulting in severe disruption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results of operations were severely affected by the COVID-19 outbreak. Due to the instability of global financial markets and other economic and financial challenges brought about by COVID-19, our businesses and clients were adversely affected by travel restrictions preventing PRC residents from travelling to Hong Kong. More broadly, the COVID-19 outbreak slowed down the global economy and caused significant market volatility and declines in general economic activities. This may continue to dampen confidence in global markets and potential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IPO business, which consists of IPO handling fees and IPO subscription financing, was severely impacted by the decline of the Hong Kong IPO market activities during the outbreak of COVID-19. For the fiscal year ended March 31, 2024, revenue from securities brokerage commissions and handling income was $51,000, compared to $74,000 for the fiscal year ended March 31, 2023, representing a 31% decline. The main reason for this decrease was the drop in handling income from IPO subscriptions in Hong Kong, which was impacted by the COVID-19 pandemic and continuous uncertain economic conditions in Hong Kong continuously.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statistical data from HKEX, the number of IPOs in the Hong Kong stock market has decreased continuously for the past 3 years, reaching 73 in 2023 compared to 90 in 2022 and 98 in 2021. The consistent decline also adversely affected investor confidence. In terms of fundraising, the total amount raised in the Hong Kong IPO market in 2023 was HK$46.32 billion, down 55.7% from HK$104.57 billion in 2022. The COVID-19 outbreak made it challenging for clients to open accounts and slowed our active client effective rate. Our active client effective rates for periods during the fiscal years ended March 31, 2022, 2023 and 2024, which rates are accounted by active client/account opening client, were 53%, 66%, 28%,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the restrictive measures previously adopted by the Hong Kong and mainland Chinese governments at various levels to control the spread of the COVID-19 virus have been revoked or replaced with more flexible measures since December 2022. As a result, we have gradually resumed normal operations since January 2023. We have recorded a total revenue of $4,291,000 for the fiscal year ended March 31, 2024, compared to $4,453,000 for the year ended March 31, 2023, a slightly decrease of $162,000, or 4%. However, the extent to which the COVID-19 pandemic may continue to impact our results will depend on future developments, which are highly uncertain and cannot be certain, including the effectiveness of vaccines and other treatments for COVID-19, and other new information that may emerge concerning the severity of the pandemic and steps taken to contain the pandemic or treat its impact, among others. Given the general slowdown in economic conditions globally, volatility in the capital markets as well as the general negative impact of the COVID-19 outbreak on the corporate finance markets, we cannot assure you that we will be able to maintain the growth rate we have experienced or projected.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Relating to Doing Business in Jurisdictions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Substantially all our operations are in Hong Kong. However, the legal and operational risks associated with operations in China may also apply to our operations in Hong Kong. The Chinese government may exercise significant oversight and control over the conduct of our business and may intervene in or influence our operations at any time, which could result in a material change in our operations and may significantly limit or completely hinder our ability to offer or continue to offer Ordinary Shares to investors and cause the value of the Ordinary Shares to significantly decline or be worthless. Changes in the policies, regulations, rules, and the enforcement of laws of the Chinese government may also be quick with little advance notice and our assertions and beliefs of the risk imposed by the PRC legal and regulatory system cannot be 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holding company and we conduct our operation primarily through our operating subsidiaries in Hong Kong. Solomon JFZ’s operations are primarily located in Hong Kong and most of our clients are residing in PRC, New Zealand, and Australia. Hong Kong is a Special Administrative Region of the PRC. The laws previously enacted in Hong Kong, that is, the common law, rules of equity, ordinances, subordinate legislation and customary law are maintained. As at the date of this prospectus, we are not materially affected by recent statements by the Chinese Government indicating an extent to exert more oversight and control over offerings that are conducted overseas and/or foreign investment in China-based issuers. However, the legal and operational risks associated with operations in China may also apply to our operations in Hong Kong, should recent statements and regulatory actions by China’s government apply to us in the future. Due to long arm provisions under the current PRC laws and regulations, there remains regulatory uncertainty with respect to the implementation and interpretation of laws in China. The PRC government may choose to exercise significant oversight and discretion, and the policies, regulations, rules, and the enforcement of laws of the Chinese government to which we are subject may change rapidly and with little advance notice to us or our shareholders. As a result, the application, interpretation, and enforcement of new and existing laws and regulations in the PRC and our assertions and beliefs of the risk imposed by the PRC legal and regulatory system are often uncertain. In addition, these laws and regulations may be interpreted and applied inconsistently by different agencies or authorities, and inconsistently with our current policies and practices. New laws, regulations, and other government directives in the PRC may also be costly to comply with, and such compliance or any associated inquiries or investigations or any other government actions may:</w:t>
      </w:r>
    </w:p>
    <w:p>
      <w:pPr>
        <w:pStyle w:val="TextBody"/>
        <w:bidi w:val="0"/>
        <w:spacing w:before="0" w:after="0"/>
        <w:ind w:left="0" w:right="0" w:hanging="0"/>
        <w:jc w:val="both"/>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sz w:val="20"/>
              </w:rPr>
            </w:pPr>
            <w:r>
              <w:rPr>
                <w:sz w:val="20"/>
              </w:rPr>
              <w:t>delay or impede our development;</w:t>
            </w:r>
          </w:p>
        </w:tc>
      </w:tr>
    </w:tbl>
    <w:p>
      <w:pPr>
        <w:pStyle w:val="TextBody"/>
        <w:bidi w:val="0"/>
        <w:spacing w:before="0" w:after="0"/>
        <w:ind w:left="960" w:right="0" w:hanging="480"/>
        <w:jc w:val="both"/>
        <w:rPr>
          <w:caps w:val="false"/>
          <w:smallCaps w:val="false"/>
        </w:rPr>
      </w:pPr>
      <w:r>
        <w:rPr>
          <w:caps w:val="false"/>
          <w:smallCaps w:val="false"/>
        </w:rPr>
        <w:t> </w:t>
      </w:r>
    </w:p>
    <w:tbl>
      <w:tblPr>
        <w:tblW w:w="5013" w:type="dxa"/>
        <w:jc w:val="left"/>
        <w:tblInd w:w="0" w:type="dxa"/>
        <w:tblLayout w:type="fixed"/>
        <w:tblCellMar>
          <w:top w:w="0" w:type="dxa"/>
          <w:left w:w="0" w:type="dxa"/>
          <w:bottom w:w="0" w:type="dxa"/>
          <w:right w:w="0" w:type="dxa"/>
        </w:tblCellMar>
      </w:tblPr>
      <w:tblGrid>
        <w:gridCol w:w="38"/>
        <w:gridCol w:w="170"/>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sz w:val="20"/>
              </w:rPr>
            </w:pPr>
            <w:r>
              <w:rPr>
                <w:sz w:val="20"/>
              </w:rPr>
              <w:t>result in negative publicity or increase our operating costs;</w:t>
            </w:r>
          </w:p>
        </w:tc>
      </w:tr>
    </w:tbl>
    <w:p>
      <w:pPr>
        <w:pStyle w:val="TextBody"/>
        <w:bidi w:val="0"/>
        <w:spacing w:before="0" w:after="0"/>
        <w:ind w:left="960" w:right="0" w:hanging="48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70"/>
        <w:gridCol w:w="45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require significant management time and attention;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subject us to remedies, administrative penalties and even criminal liabilities that may harm our business, including fines assessed for our current or historical operations, or demands or orders that we modify or even cease our business practices.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aware that recently, the PRC government initiated a series of regulatory actions and statements to regulate business operations in certain areas in China with little advance notice, including cracking down on illegal activities in the securities market, enhancing supervision over China-based companies listed overseas using variable interest entity structure, adopting new measures to extend the scope of cybersecurity reviews, and expanding the efforts in anti-monopoly enforcement. 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such modified or new laws and regulations will have on our daily business operation, the ability to accept foreign investments and list on an U.S. or other foreign exchange. Specifically the revised CRM provides that operators of critical information infrastructure purchasing network products and services, and online platform operators (together with the operators of critical information infrastructure, the “operators”) carrying out data processing activities that affect or may affect national security, shall conduct a cybersecurity review, and any online platform operator who controls more than one million users’ personal information must go through a cybersecurity review by the cybersecurity review office if it seeks to be listed in a foreign country. We believe that we are not subject to PRC cybersecurity review for the following reasons: (i) we do not hold critical information infrastructure; (ii) we believe our operations will not affect national security; (iii) we do not hold personal information of more than one million users. In addition, as of the date of this prospectus, we are not subject to the review or prior approval of the CAC nor the CSRC. We have not received any notice of and is not currently subject to any proceedings initiated by the CAC or any other PRC regulatory authority. However, since Solomon JFZ’s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is available to download in the app stores of China and most of our users are PRC citizens, which may subject us to certain laws and regulations in China. According to PRC regulations, the content provider engaged in disseminating analysis, forecasting, advisory of other information related to security needs to obtain the Securities Investment Consultancy Qualifications. Currently, we do not apply for any PRC license regarding the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We believe that the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does not need any PRC license for the following reasons: (i) we do not have any entity or subsidiary in the PRC; (ii) we conduct our business and operations primarily through our operating subsidiaries in Hong Kong. However, the PRC government has the ultimate authority to decide whether we have to get the licenses and we cannot assure that without any PRC license, we will not be subject to regulatory measures including warnings, public condemnation, suspension of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in the PRC and other measures. We can assure that we will follow any PRC government’s rule, regulation or instruction regarding </w:t>
      </w:r>
      <w:r>
        <w:rPr>
          <w:rFonts w:ascii="Times New Roman;Times;Serif" w:hAnsi="Times New Roman;Times;Serif"/>
          <w:b w:val="false"/>
          <w:i/>
          <w:caps w:val="false"/>
          <w:smallCaps w:val="false"/>
          <w:sz w:val="20"/>
        </w:rPr>
        <w:t>Solomon VA+</w:t>
      </w:r>
      <w:r>
        <w:rPr>
          <w:rFonts w:ascii="Times New Roman;Times;Serif" w:hAnsi="Times New Roman;Times;Serif"/>
          <w:b w:val="false"/>
          <w:i w:val="false"/>
          <w:caps w:val="false"/>
          <w:smallCaps w:val="false"/>
          <w:sz w:val="20"/>
        </w:rPr>
        <w:t xml:space="preserve"> as soon as we were informed of the requirements. As such, we collect certain personal data from our customers in connection with our business and operations and we are subject to various regulatory requirements relating to the security and privacy of data in various jurisdictions. In addition, we may be subject to heightened regulatory scrutiny from PRC governmental authorities in the future. As there remains significant uncertainty in the interpretation and enforcement of the DSL and the PRC PIPL, we cannot assure you that we will comply with such regulations in all respects. In the event that (i) the PRC government expands the categories of industries and companies whose foreign securities offerings are subject to review by the CSRC or the CAC such that we are required to obtain such permissions or approvals; or (ii) we inadvertently concluded that relevant permissions or approvals were not required or that we did not receive or maintain relevant permissions or approvals required, any action taken by the PRC government could significantly limit or completely hinder our operations, significantly limit or completely hinder our ability to offer the Ordinary Shares to investors, and cause the value of such shares to significantly decline or become worthless. Any non-compliance with these laws and regulations may subject us to fines, orders to rectify or terminate any actions that are deemed illegal by regulatory authorities, other penalties, including but not limited to removal of our apps in China market, as well as reputational damage or legal proceedings against us, which may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enactment of Law of the PRC on Safeguarding the Hong Kong National Security Law could impact our Hong Kong operating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2020, the SCNPC adopted the Hong Kong National Security Law (the “Hong Kong National Security Law”). This law defines the duties and government bodies of the Hong Kong National Security Law for safeguarding national security and four categories of offenses — secession, subversion, terrorist activities, and collusion with a foreign country or external elements to endanger national security — and their corresponding penalties. On July 14, 2020, former U.S. President Donald Trump signed the Hong Kong Autonomy Act (“HKAA”) into law, authorizing the U.S. administration to impose blocking sanctions against individuals and entities who are determined to have materially contributed to the erosion of Hong Kong’s autonomy. On August 7, 2020, the U.S. government imposed HKAA-authorized sanctions on 11 individuals, including then-HKSAR chief executive Carrie Lam and John Lee, who later replaced Carrie Lam as chief executive on July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2021, President Biden warned investors about the risks of doing business in Hong Kong, issuing an advisory saying China’s push to exert more control over Hong Kong threatens the rule of law and endangers employees and data.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are targeted. It is difficult to predict the full impact of the Hong Kong National Security Law and HKAA on Hong Kong and companies located in Hong Kong. If we and our subsidiaries are determined to be in violation of the Hong Kong National Security Law or the HKAA by competent authorities, our business operations could be materially and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downturn in the Hong Kong, China or the global economy, and changes in economic and political policies of China, could materially and adversely affect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prospects, financial condition and results of operations may be influenced to a significant degree by political, economic and social conditions in Hong Kong and China generally and by continued economic growth in Hong Kong and China as a whole. The Chinese economy differs from the economies of most developed countries in many respects, including the fact that it:</w:t>
      </w:r>
    </w:p>
    <w:p>
      <w:pPr>
        <w:pStyle w:val="TextBody"/>
        <w:bidi w:val="0"/>
        <w:spacing w:before="0" w:after="0"/>
        <w:ind w:left="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170"/>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sz w:val="20"/>
              </w:rPr>
            </w:pPr>
            <w:r>
              <w:rPr>
                <w:sz w:val="20"/>
              </w:rPr>
              <w:t>has a high level of government involvement;</w:t>
            </w:r>
          </w:p>
        </w:tc>
      </w:tr>
    </w:tbl>
    <w:p>
      <w:pPr>
        <w:pStyle w:val="TextBody"/>
        <w:bidi w:val="0"/>
        <w:spacing w:before="0" w:after="0"/>
        <w:ind w:left="720" w:right="0" w:hanging="36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sz w:val="20"/>
              </w:rPr>
            </w:pPr>
            <w:r>
              <w:rPr>
                <w:sz w:val="20"/>
              </w:rPr>
              <w:t>is in the early stages of development of a market-oriented economy;</w:t>
            </w:r>
          </w:p>
        </w:tc>
      </w:tr>
    </w:tbl>
    <w:p>
      <w:pPr>
        <w:pStyle w:val="TextBody"/>
        <w:bidi w:val="0"/>
        <w:spacing w:before="0" w:after="0"/>
        <w:ind w:left="720" w:right="0" w:hanging="360"/>
        <w:jc w:val="both"/>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sz w:val="20"/>
              </w:rPr>
            </w:pPr>
            <w:r>
              <w:rPr>
                <w:sz w:val="20"/>
              </w:rPr>
              <w:t>has experienced rapid growth; and</w:t>
            </w:r>
          </w:p>
        </w:tc>
      </w:tr>
    </w:tbl>
    <w:p>
      <w:pPr>
        <w:pStyle w:val="TextBody"/>
        <w:bidi w:val="0"/>
        <w:spacing w:before="0" w:after="0"/>
        <w:ind w:left="720" w:right="0" w:hanging="360"/>
        <w:jc w:val="both"/>
        <w:rPr>
          <w:caps w:val="false"/>
          <w:smallCaps w:val="false"/>
        </w:rPr>
      </w:pPr>
      <w:r>
        <w:rPr>
          <w:caps w:val="false"/>
          <w:smallCaps w:val="false"/>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sz w:val="20"/>
              </w:rPr>
            </w:pPr>
            <w:r>
              <w:rPr>
                <w:sz w:val="20"/>
              </w:rPr>
              <w:t>has a tightly controlled foreign exchange policy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conditions in Hong Kong and China are sensitive to global economic conditions. Any prolonged slowdown in the global or Chinese economy may affect potential clients’ confidence in financial market as a whole and have a negative impact on our business, results of operations and financial condition. Additionally, continued turbulence in the international markets may adversely affect our ability to access the capital markets to meet liquidity needs.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political risks associated with conducting business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economic, social, and/or political conditions, material social unrest, strike, riot, civil disturbance, or disobedience, as well as significant natural disasters, may affect the market may adversely affect the business operations of Solomon JFZ. 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operation is based in Hong Kong, any change of such political arrangements may pose immediate threat to the stability of the economy in Hong Kong, thereby directly and adversely affecting our results of operations and financial positions. Under the Basic Law,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Hong Kong National Security Law enacted by the SCNPC in June 2020, the U.S. State Department has indicated that the United States no longer considers Hong Kong to have significant autonomy from China and, at the time, President Donald Trump signed an executive order and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recent actions may represent an escalation in political and trade tensions involving the United States, China, and Hong Kong, which could potentially harm our business. 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to China-U.S. relations could cause investor uncertainty for affected issuers, including us, and the market price of the Ordinary Shares could be adversely affected.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Ordinary Shares may be prohibited from trading in the United States under the HFCAA in the future if the PCAOB is unable to inspect or investigate completely auditors located in China or Hong Kong. The delisting of the Ordinary Shares, or the threat of their being delisted, may materially and adversely affect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2020, the U.S. Senate passed the HFCA Act requiring a foreign company to certify it is not owned or controlled by a foreign government if the PCAOB is unable to audit specified reports because the company uses a foreign auditor not subject to PCAOB inspection. In addition, if the PCAOB is unable to inspect the company’s auditors for three consecutive years, the issuer’s securities are prohibited to trade on a national exchange. On December 2, 2020, the U.S. House of Representatives approved the HFCA Act and it was signed into law on December 18, 2020.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U.S. Senate passed the AHFCAA, which, if enacted, would amend the HFCA Act and require the SEC to prohibit an issuer’s securities from trading on any U.S. stock exchanges if its audit work cannot be inspected when its auditor is subject to PCAOB inspections for two consecutive years instead of three and, thus, would reduce the time before the Ordinary Shares may be prohibited from trading or delisted. In December 2022, an omnibus spending bill was signed into law, which included the enactment of provisions under the AHFCAA to accelerate the timeline for implementation of trading prohibitions under the HFCA Act from three consecutive years to two consecutive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SEC adopted amendments to finalize rules implementing the submission and disclosure requirements in the HFCA Act. The rules apply to registrants the SEC identifies as having filed an annual report with an audit report issued by a registered public accounting firm that is located in a foreign jurisdiction and that the PCAOB is unable to inspect or investigate (“Commission-Identified Issuers”). The final amendments require Commission-Identified Issuers to submit documentation to the SEC establishing that, if true, it is not owned or controlled by a governmental entity in the public accounting firm’s foreign jurisdiction. The amendments also require that a Commission-Identified Issuer that is a “foreign issuer,” as defined in Exchange Act Rule 3b-4, provide certain additional disclosures in its annual report for itself and any of its consolidated foreign operating entities. A Commission-Identified Issuer will be required to comply with the submission and disclosure requirements in the annual report for each year in which it was identified. Accordingly, if we are determined by the SEC to be a Commission-Identified Issuer, we will incur additional costs in complying with the submission and disclosure requirements in the annual report for each year in which we are identified. In the event that we are deemed to have had two consecutive “non-inspection” years by the SEC, our securities will be prohibited from trading on any national securities exchange or over-the-counter markets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pursuant to the HFCA Act, the PCAOB issued a Determination Report which found that the PCAOB is unable to inspect or investigate completely registered public accounting firms headquartered in the PRC and Hong Kong, because of a position taken by one or more authorities in such jurisdictions. In addition, the PCAOB’s report identified specific registered public accounting firms which are subject to these determinations. Our current registered public accounting firm, WWC, P.C., is not headquartered in the PRC or Hong Kong and was not identified in this prospectus as a firm subject to the PCAOB’s determination. WWC, P.C. is a U.S.-based accounting firm that is registered with the PCAOB and can be inspected by the PCAOB. We have no current intention of engaging any auditor not based in the U.S. and not subject to regular inspection by the PCAOB. Furthermore, the PCAOB is able to inspect the audit workpapers of our Hong Kong subsidiaries, as such workpapers are electronic files possessed by our registered public accounting firms. However, if the PCAOB determines in the future that it cannot inspect or fully investigate our auditor at such future time, trading in our securities would be prohibited under the HFCA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CSRC, the MOF, and the PCAOB signed the Protocol, governing inspections and investigations of audit firms based in China and Hong Kong. The Protocol remains unpublished and is subject to further explanation and implementation. Pursuant to the fact sheet with respect to the Protocol disclosed by the SEC, the PCAOB shall have independent discretion to select any issuer audits for inspection or investigation and has the unfettered ability to transfer information to the SEC. On December 15, 2022, the PCAOB made a statement announcing that it was able, in 2022, to inspect and investigate completely issuer audit engagements of PCAOB-registered public accounting firms headquartered in China and Hong Kong and as a result, vacated its December 16, 2021 determination. However, uncertainties still exist as to whether the PCAOB will have continued access for complete inspections and investigations in the future. When the PCAOB reassesses its determinations in the future, it could still determine that it is unable to inspect and investigate completely accounting firms based in mainland China and Hong Kong. The PCAOB has also indicated that it will act immediately to consider the need to issue new determinations with the HFCA Act if needed. There can be no assurance that we will continue to be able to comply with requirements imposed by U.S. regulators if there is significant change to current political arrangements between mainland China and Hong Kong or if the PCAOB is not able to fully inspect any component of our auditor’s work papers in the future. Delisting of the Ordinary Shares would force holders of the Ordinary Shares to sell their Ordinary Shares. The market price of the Ordinary Shares could be adversely affected as a result of anticipated negative impacts of these executive or legislative actions, regardless of whether these executive or legislative actions are implemented and regardless of our actual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offshore investment activities by PRC residents may subject us or our PRC resident beneficial owners to liability or penalties, limit our ability to conduct business in the PRC or may otherwise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2014, SAFE issued the Circular on Issues Concerning Foreign Exchange Control over the Overseas Investment and Financing and Round-trip Investment by Domestic Residents via Special Purpose Vehicles, or “SAFE Circular 37.” According to SAFE Circular 37, prior registration with the local SAFE branch is required for PRC residents, (including PRC individuals and PRC corporate entities as well as foreign individuals that are deemed as PRC residents for foreign exchange administration purpose), in connection with their direct or indirect contribution of domestic assets or interests to offshore special purpose vehicles, or “SPVs.” SAFE Circular 37 further requires amendments to the SAFE registrations in the event of any changes with respect to the basic information of the offshore SPV, such as change of a PRC individual shareholder, name, and operation term, or any significant changes with respect to the offshore SPV, such as an increase or decrease of capital contribution, share transfer or exchange, or mergers or divisions. SAFE Circular 37 is applicable to beneficial owners of the Ordinary Shares who are PRC residents. In February 2015, SAFE promulgated a Circular on Further Simplifying and Improving Foreign Exchange Administration Policy on Direct Investment, or “SAFE Circular 13,” effective in June 2015. Under SAFE Circular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provide any assurance that our current or future PRC resident beneficial owners will always comply with our request to make or obtain any applicable registrations or continuously comply with all registration procedures set forth in these SAFE regulations. Such failure or inability of our PRC resident beneficial owners to comply with these SAFE regulations may subject us or our PRC resident beneficial owners to fines and legal sanctions, or restrict our cross-border business activities, as a result of which our business operations and our ability to distribute profits to you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Hong Kong and China legal systems are evolving and embody uncertainties which could limit the legal protections available to us. Uncertainties with respect to the PRC legal system, including uncertainties regarding the enforcement of laws, and sudden or unexpected changes in laws and regulations in China could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is a Special Administrative Region of the PRC. Following British colonial rule from 1842 to 1997, China assumed sovereignty under the “one country, two systems” principle. The Hong Kong Special Administrative Region’s constitutional document, the Basic Law, ensures that the current political situation will remain in effect for 50 years. Hong Kong has enjoyed the freedom to function in a high degree of autonomy for its affairs, including currencies, immigration and custom, independent judiciary system and parliamentary system. On July 14, 2020, the United States signed an executive order to end the special status enjoyed by Hong Kong post-1997. As the autonomy currently enjoyed were compromised, it could potentially impact Hong Kong’s common law legal system and may in turn bring about uncertainty in, for example, the enforcement of our contractual rights. This could, in turn, materially and adversely affect our business and operation.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clients.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contrast, China’s legal system is a civil law system based on written statutes. Unlike common law systems, it is a system in which prior court decisions have limited value as precedents. Since 1979, the PRC government has promulgated laws and regulations governing economic matters in general, such as foreign investment, corporate organization and governance, commerce, taxation and trade. However, China has not developed a fully integrated legal system. As a result, recently enacted laws and regulations may not sufficiently cover all aspects of economic activities in China. In particular, because these laws and regulations are relatively new and the limited volume of published cases and their non-binding nature, interpretation and enforcement of these newer laws and regulations involve greater uncertainties than those in jurisdictions available to you. In addition, China’s legal system is based in part on government policies and administrative rules, and many have retroactive effects. Since the PRC legal system continues to evolve rapidly, the interpretations of many laws, regulations and rules are not always uniform and enforcement of these laws, regulations and rules involves uncertainties, which may limit legal protections available to us. As a result, we cannot predict the effect of future developments in China’s legal system, including the promulgation of new laws, changes to existing laws, or the interpretation or enforcement thereof, or the pre-emption of local regulations by national laws. We may not be aware of our violation of these policies and rules until sometime after the violation. Such uncertainties could adversely affect our business that relates to China or PRC citizens.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 regulatory requirement of prior approval for transfer of shares in excess of certain threshold may restrict future takeovers and 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132 of Securities and Futures Ordinance (Cap. 571 of the laws of Hong Kong) (the “SFO”) requires a person (including a corporation) to apply for prior approval from the HKSFC to become a substantial or continue to be shareholder of a HKSFC-licensed company in Hong Kong. Under the SFO, a person is regarded as a “substantial shareholder” of a licensed company if he, either alone or with associates, has an interest in share in the licensed company the aggregate number of which shares is equal to more than 10% of the total number of issued shares of the licensed company, or is entitled to, either directly or indirectly, exercise or control the exercise of the voting power of more than 10% of the voting power at general meetings of the licensed company, or hold shares in any other corporation which entitles the person, either alone or with any of his associates and either directly or indirectly, exercises or control the exercise of 35% or more of the voting power at the general meetings of the other corporation, of or a further corporation, that controls either alone or with any of its associates and either directly or indirectly, more than 10% of the voting power at general meetings of the licensed company. Further, all potential parties who will be new substantial shareholder(s) of Solomon JFZ, our HKSFC-licensed subsidiary, is required to seek prior approval from the HKSFC. This regulatory requirement may discourage, delay or prevent a change in control of Solomon JFZ, which could deprive our shareholders the opportunity to receive a premium for their shares as part of a future sale and may reduce the price of the Ordinary Shares upon the consummation of a future proposed business combination.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a variety of PRC laws and other obligations regarding cyber security, data protection, overseas offerings and/or foreign investment in China-based issuers, and any failure to comply with applicable laws and obligations could have a material and adverse effect on our business, financial condition, and results of operations and may hinder our ability to offer or continue to offer Ordinary Shares to investors and cause the value of the Ordinary Shares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a variety of laws and regulations in the PRC regarding privacy, data security, cybersecurity, data protection and overseas offering. These laws and regulations are continuously evolving and developing. The scope and interpretation of the laws that are or may be applicable to us are often uncertain and may be conflicting, particularly with respect to foreign laws. In particular, there are numerous laws and regulations regarding privacy and the collection, sharing, use, processing, disclosure, and protection of personal information and other user data. Such laws and regulations often vary in scope, may be subject to differing interpretations, and may be inconsistent among different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SCNPC enacted the PDSL, which took effect on September 1, 2021. The law requires data collection to be conducted in a legitimate and proper manner, and stipulates that, for the purpose of data protection, data processing activities must be conducted based on data classification and hierarchical protection system for data security and no organization or individual within the territory of the PRC may provide foreign judicial or law enforcement authorities with the data stored within the territory of the PRC without the approval of the competent authorities of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These opinions proposed to take effective measures, such as promoting the construction of relevant regulatory systems, to deal with the risks and incidents facing China-based overseas-listed companies and the demand for cybersecurity and data privacy protection. On February 17, 2023, with the approval of the State Council, the CSRC issued the New Overseas Listing Rules, which became effective on March 31, 2023. According to the New Overseas Listing Rules, domestic enterprises are required to file with CSRC by submitting filing reports, legal opinions and other relevant materials in the following two situations: (i) a domestic company that seeks to offer or list securities overseas, both directly and indirectly, should fulfill the filing procedures with the CSRC; (2) where a domestic company seeks to indirectly offer and list securities in an overseas market, the issuer shall designate a major domestic operating entity responsible for all filing procedures with the CSRC. In addition, if the issuer meets both of the following conditions, the overseas offering and listing shall be determined as an indirect overseas offering and listing by a domestic company: (i) any of the revenues, profits, total assets or net assets of the domestic operating entity in the most recent fiscal year accounts for more than 50% of the corresponding figure in the issuer’s audited consolidated financial statements for the same period; (ii) its major operational activities are carried out in mainland China or its main places of business are located in mainland China, or the senior managers in charge of operation and management of the issuer are mostly Chinese citizens or mainland China residents. The determination will be based on the “substance over form” principle, requiring securities companies and law firms to conduct comprehensive verification and identification to determine whether the filing documents fail to prove whether the enterprise falls into the above situations that require the filing. When an issuer makes an application for an initial public offering in an overseas market, the issuer shall submit filings with the CSRC within three business days after such application is submitted overseas.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2021, the CAC issued the Revised Draft, which required that, among others, in addition to “operator of critical information infrastructure” any “data processor” controlling personal information of no less than one million users which seeks to list in a foreign stock exchange should also be subject to cybersecurity review. Pursuant to Article 6 of the Revised Draft, companies holding data or more than one million users must apply for cybersecurity approval when seeking overseas listings because of the risk that such data and personal information could be “affected, controlled, and maliciously exploited by foreign governments.” On December 28, 2021, the CAC published the revised CRM, which further restates and expands the applicable scope of the cybersecurity review. The revised CRM took effect on February 15, 2022, and replaced the Revised Draft issued on July 10, 2021. The revised CRM provides that operators of critical information infrastructure purchasing network products and services, and online platform operators (together with the operators of critical information infrastructure, the “operators”) carrying out data processing activities that affect or may affect national security, shall conduct a cybersecurity review, and any online platform operator who controls more than one million users’ personal information must go through a cybersecurity review by the cybersecurity review office if it seeks to be listed in a foreign country.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(1) our HK Subsidiaries are incorporated and located in Hong Kong and none of them controls more than one million users’ personal information; (2) we have no subsidiary, VIE structure, nor any direct operations in mainland China; (3) the primary focus of our business operations is located outside mainland China and the majority of our senior management personnel, who are responsible for the daily operation and management, are Hong Kong citizens and do not reside in mainland China; (4) we possess minimum amount of personal information to achieve the purpose of processing in our business operations with minimal impact on the rights and interests of individuals; (5) all of the data and personal information of our clients are securely stored on equipment owned by an HKEX certified server provider located in Hong Kong; (6) data processed in our business does not have a bearing on national security and thus may not be classified as core or important data by the authorities ; and (7) pursuant to the Basic Law, which is a national law of the PRC and the constitutional document for Hong Kong, national laws of the PRC shall not be applied in Hong Kong except for those listed in Annex III of the Basic Law (which is confined to laws relating to defense and foreign affairs, as well as other matters outside the autonomy of Hong Kong), We do not currently expect the revised CRM, the DSL, the PRC PIPL, and the New Overseas Listing Rules to have an impact on our business, operations, or future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the legal and operational risks associated with operations in China may apply to our operations in Hong Kong, should recent statements and regulatory actions by China’s government apply to us in the future. Since these statements and regulatory actions are relatively new, it is highly uncertain how soon the legislative or administrative regulation-making bodies will respond and what existing or new laws or regulations or detailed implementations and interpretations will be modified or promulgated, if any. It is also highly uncertain what the potential impact such modified or new laws and regulations will have on the daily business operations of our operating subsidiaries, their abilities to accept foreign investments and the listing of the Ordinary Shares on a U.S. or other foreign exchanges. There remains significant uncertainty in the interpretation and enforcement of relevant PRC cybersecurity laws and regulations. If the New Overseas Listing Rules further expand their scope of application, we may be required to make a filing with the CSRC. If the revised CRM or the PRC PIPL or any other PRC regulations like the Draft Assessment Measures for the Security of Personal Information Leaving the Country are required to be applicable to our operating HK Subsidiaries by PRC authorities, our business operation could be subject to the CAC’s cybersecurity review or a CSRC review in the future. If any of our operating subsidiaries becomes subject to the CAC or CSRC review, we cannot assure you that our operating subsidiaries will be able to comply with the regulatory requirements in all respects, and the current practice of collecting and processing personal information may be ordered to be rectified or terminated by regulatory authorities. In the event of a failure to comply, our operating subsidiaries may become subject to fines and other penalties that may have a material adverse effect on our business, operations, and financial condition and may hinder our ability to offer or continue to offer Ordinary Shares to investors and cause the value of the Ordinary Shares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treated as a non-resident enterprise for PRC tax purposes under the PRC Enterprise Income Tax Law, and we may therefore be subject to income tax on our income from PRC residents.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its implementation rules, a foreign enterprise which has no establishment or place in the PRC but derives profit from sources in the PRC will be subject to the enterprise income tax on its PRC income. We believe that our income from PRC residents may not be the profit from sources in the PRC and hence, we are not a non-resident enterprise subject to PRC income tax for the following reasons: (i) we conduct our operations through our operating subsidiaries in Hong Kong; (ii) we have no subsidiary, VIE structure, nor any direct operations in the PRC; (iii) we do not have income directly from PRC accounts. However, whether we have income from sources in the PRC is subject to determination by the PRC tax authorities. There is uncertainty that with the development of our business, part of our profit might be deemed as profit from sources in the PRC and we might be subject to PRC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uncertainty as to the application of the “non-resident enterprise” classification, we cannot assure you that the PRC government will not amend or revise the taxation laws, rules and regulations to impose stricter tax requirements, such as the potential imposition of transaction taxes, or higher tax rates. Any of such changes could materially and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Risks Relating to Ownership of the Ordinary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experienced extreme stock price volatility unrelated to our actual or expected operating performance, financial condition or prospects, making it difficult for prospective investors to assess the rapidly changing value of the Ordinary Shares.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stock market has witnessed instances of extreme stock price run-ups followed by rapid price declines in 2022 and such share price volatility seemed unrelated to the issuers’ performance subsequent to their recent initial public offerings, especially among companies with relatively smaller public floats. As a relatively small-capitalized company with a small public float, the share price of the Ordinary Shares has experienced extreme volatility after they were listed in September 2023. Additionally, we may also experience lower trading volume and less liquidity than large-capitalized companies. Although the specific cause of such volatility is unclear, our anticipated small public float may amplify the impact the actions taken by a few shareholders have on the price of the Ordinary Shares, which may cause our share price to deviate, potentially significantly, from a price that better reflects the underlying performance of our business. The extreme volatility may confuse public investors regarding the value of our shares, distort the market perception of our share price and our company’s financial performance and public image, and negatively affect the long-term liquidity of the Ordinary Shares, regardless of our actual or expected operating performance. Should the Ordinary Shares continue to experience run-ups and declines that are seemingly unrelated to our actual or expected operating performance and financial condition or prospects, prospective investors may have difficulty assessing the rapidly changing value of the Ordinary Shares and our ability to access the capital market may be materially adversely affected. In addition, if the trading volumes of the Ordinary Shares are low, holders of the Ordinary Shares may also not be able to readily liquidate their investment or may be forced to sell at depressed prices due to low volume trading. As a result of this volatility, investors may experience losses on their investment in the Ordinary Shares.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 listing of the Ordinary Shares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meet Nasdaq’s continued listing requirements, the Ordinary Shares may be delisted. In addition, our board of directors may determine that the cost of maintaining our listing on a national securities exchange outweighs the benefits of such listing. A delisting of the Ordinary Shares from Nasdaq may materially impair our shareholders’ ability to buy and sell the Ordinary Shares and could have an adverse effect on the market price of, and the efficiency of the trading market for, the Ordinary Shares. The delisting of the Ordinary Shares could significantly impair our ability to raise capital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publish unfavorable research, or do not continue to cover us, our share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Ordinary Shares depends in part on the research and reports that securities or industry analysts publish about us. We do not have any control over these analysts. If an analyst downgrades the Ordinary Shares or publishes unfavorable research about our business, the price of Ordinary Shares would likely decline. If an analyst ceases coverage of us or fails to publish reports on us regularly, we could lose visibility in the financial markets and demand for the Ordinary Shares could decrease, which could cause the share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not historically declared or paid dividends on the Ordinary Shares and, consequently, your ability to achieve a return on your investment will depend on appreciation in the price of the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historically declared or paid dividends on the Ordinary Shares. We currently intend to invest our future earnings, if any, to fund our growth, to develop business, for working capital needs, to reduce debt and for general corporate purposes. We do not expect to declare or pay any dividends in the foreseeable future. Therefore, the success of an investment in the Ordinary Shares will depend upon any future appreciation in their value. There is no guarantee that the Ordinary Shares will appreciate in value or even maintain their current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decision to pay dividends in the future will be at the full discretion of our board of directors and will depend upon various factors then existing, including earnings, financial condition, results of operations, capital requirements, level of indebtedness, restrictions imposed by applicable law, general business conditions and other factors that our board of directors may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issue additional equity or debt securities, which are senior to the Ordinary Shares as to distributions and in liquidation, which could materially adversely affect the market price of the Ordinary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attempt to increase our capital resources by entering into additional debt or debt-like financing that is secured by all or up to all of our assets, or issuing debt or equity securities, which could include issuances of commercial paper, medium-term notes, senior notes, subordinated notes or shares. In the event of our liquidation, our lenders and holders of our debt securities would receive a distribution of our available assets before distributions to our shareholders of Ordinary Shares. In addition, any additional preferred shares, if issued by our company, may have a preference with respect to distributions and upon liquidation, which could further limit our ability to make distributions to our shareholders of Ordinary Shares. Because our decision to incur debt and issue securities in our future offerings will depend on market conditions and other factors beyond our control, we cannot predict or estimate the amount, timing or nature of our future offerings and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market conditions could require us to accept less favorable terms for the issuance of our securities in the future. Thus, you will bear the risk of our future offerings reducing the value of your Ordinary Shares and diluting your interest in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officers and principal shareholders have significant voting power and may take actions that may not be in the best interests of our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officers and principal shareholders hold in aggregate approximately 68.84% of our shares. We are not considered a “controlled company” under Nasdaq corporate governance rules as we do not currently expect that more than 50% of our voting power will be held by an individual, a group or another company. These shareholders, however, if they act together, will be able to control the management and affairs of our company and most matters requiring shareholder approval, including the election of directors and approval of significant corporate transactions. The interests of these shareholders may not be the same as or may even conflict with your interests. For example, these shareholders could attempt to delay or prevent a change in control of us, even if such change in control would benefit our other shareholders, which could deprive our shareholders of an opportunity to receive a premium for their Ordinary Shares as part of a sale of us or our assets, and might affect the prevailing market price of the Ordinary Shares due to investors’ perceptions that conflicts of interest may exist or arise. As a result, this concentration of ownership may not be in the best interests of our other shareholders.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qualify as a foreign private issuer under the Exchange Act, we are exempt from certain provisions of the securities rules and regulations in the United States that are applicable to U.S. domestic issuers, including:</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rules under the Exchange Act requiring the filing with the SEC of quarterly reports on Form 10-Q or current reports on Form 8-K;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Section 14 of the Exchange Act regulating the solicitation of proxies, consents, or authorizations in respect of a security registered under the Exchange Act;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Section 16 of the Exchange Act requiring insiders to file public reports of their stock ownership and trading activities and liability for insiders who profit from trades made in a short period of time; and</w:t>
            </w:r>
          </w:p>
        </w:tc>
      </w:tr>
    </w:tbl>
    <w:p>
      <w:pPr>
        <w:pStyle w:val="TextBody"/>
        <w:bidi w:val="0"/>
        <w:spacing w:before="0" w:after="0"/>
        <w:ind w:left="720" w:right="0" w:hanging="360"/>
        <w:jc w:val="both"/>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17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sz w:val="20"/>
              </w:rPr>
            </w:pPr>
            <w:r>
              <w:rPr>
                <w:sz w:val="20"/>
              </w:rPr>
              <w:t>the selective disclosure rules by issuers of material nonpublic information under Regulation FD.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In addition, we may publish our results on a quarterly basis as press releases, distributed pursuant to the rules and regulations of the Nasdaq Stock Market. Press releases relating to financial results and material events will also be furnished to the SEC in reports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permitted to rely on exemptions from certain Nasdaq corporate governance standards applicable to domestic U.S. issuers. This may afford less protection to holders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exempted from certain corporate governance requirements of Nasdaq by virtue of being a foreign private issuer. As a foreign private issuer, we are permitted to follow the governance practices of our home country, the Cayman Islands, in lieu of certain corporate governance requirements of Nasdaq. As result, the standards applicable to us are considerably different than the standards applied to domestic U.S. issuers. For instance, we are not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have a majority of the board be independent (although all of the members of the audit committee must be independent under the Exchange Act);</w:t>
            </w:r>
          </w:p>
        </w:tc>
      </w:tr>
    </w:tbl>
    <w:p>
      <w:pPr>
        <w:pStyle w:val="TextBody"/>
        <w:bidi w:val="0"/>
        <w:spacing w:before="0" w:after="0"/>
        <w:ind w:left="1080" w:right="0" w:hanging="360"/>
        <w:jc w:val="left"/>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17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sz w:val="20"/>
              </w:rPr>
            </w:pPr>
            <w:r>
              <w:rPr>
                <w:sz w:val="20"/>
              </w:rPr>
              <w:t>have a compensation committee and a nominating committee to be comprised solely of “independent directors”; or</w:t>
            </w:r>
          </w:p>
        </w:tc>
      </w:tr>
    </w:tbl>
    <w:p>
      <w:pPr>
        <w:pStyle w:val="TextBody"/>
        <w:bidi w:val="0"/>
        <w:spacing w:before="0" w:after="0"/>
        <w:ind w:left="1080" w:right="0" w:hanging="360"/>
        <w:jc w:val="left"/>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sz w:val="20"/>
              </w:rPr>
            </w:pPr>
            <w:r>
              <w:rPr>
                <w:sz w:val="20"/>
              </w:rPr>
              <w:t>hold an annual meeting of shareholders no later than one year after the end of our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rules may require shareholder approval for certain corporate matters, such as requiring that shareholders be given the opportunity to vote on all equity compensation plans and material revisions to those plans, certain Ordinary Share issuances. We intend to comply with the requirements of Nasdaq listing rules to have a majority of the board be independent and to appoint a compensation committee and a nominating and corporate governance committee. We may, however, in the future consider following home country practice in lieu of the requirements under Nasdaq listing rules with respect to certain corporate governance standards which may afford less protection to investors than they would otherwise enjoy under the Nasdaq corporate governance listing standards applicable to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lose our foreign private issuer status if, for example, more than 50% of the Ordinary Shares are directly or indirectly held by residents of the United States and we fail to meet additional requirements 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rules. As a U.S.-listed public company that is not a foreign private issuer, we will incur significant additional legal, accounting, and other expenses that we will not incur as a foreign private issuer in order to maintain a listing on a U.S.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You may be unable to present proposals before annual general meetings or extraordinary general meetings not called by shareholders.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convene a general meeting and does not provide shareholders with any right to put any proposal before a general meeting. However, these rights may be provided in a company’s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Solowin’s Amended and Restated Memorandum and Articles of Association do not provide its shareholders with any right to requisition a general meeting or to put any proposals before annual general meetings or extraordinary general meetings not called by such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Solowin’s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 Cayman Islands company and substantially all of our assets are located outside of the United States. Substantially all of our current operations are conducted in Hong Kong by Solomon JFZ.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of our directors and officers are nationals or residents of Hong Kong and all or a substantial portion of their assets are located outside the U.S. As a result, it may be difficult for investors to effect service of process within the U.S. upon us or these persons, or to enforce against us or them judgments obtained in U.S. courts, including judgments predicated upon the civil liability provisions of the U.S. federal securities laws or securities laws of any U.S. state. Even if you are successful in bringing an action of this kind, the laws of the Cayman Islands and of Hong Kong may render you unable to enforce a judgment against our assets or the assets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Solowin is incorporated under Cayman Islands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an exempted company incorporated under the laws of the Cayman Islands. Its corporate affairs are governed by its Amended and Restated Memorandum and Articles of Association, the Companies Act (As Revised) of the Cayman Islands and the common law of the Cayman Islands. The rights of the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the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Solowin have no general rights under Cayman Islands law to inspect corporate records or to obtain copies of lists of shareholders of these companies. Solowin’s Amended and Restated Memorandum and Articles of Association have provisions that provide our shareholders with the right to inspect the register of members without charge, and to receive the annual audited financial statements of the Company. Subject to the foregoing, our directors have discretion under the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Solowin’s Amended and Restated Memorandum and Articles of Association contain anti-takeover provisions that could discourage a third party from acquiring us, which could limit Solowin’s shareholders’ opportunity to sell their shares at a premium.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Solowin’s Amended and Restated Memorandum and Articles of Association contain provisions to limit the ability of others to acquire control of our company or cause us to engage in change-of-control transactions. These provisions could have the effect of depriving Solowin’s shareholders of an opportunity to sell their shares at a premium over prevailing market prices by discouraging third parties from seeking to obtain control of our company in a tender offer or similar transaction. For example, Solowin’s board of directors has the authority, without further action by its shareholders, to issue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the Companies Act (As Revised) of the Cayman Islands. Preferred shares could be issued quickly with terms calculated to delay or prevent a change in control of our company or make removal of management more difficult. If Solowin’s board of directors decides to issue preferred shares, the price of the Ordinary Shares may fall and the voting and other rights of the holders of the Ordinary Shares may be materially and adversely affected. In addition, Solowin’s Amended and Restated Memorandum and Articles of Association contain other provisions that could limit the ability of third parties to acquire control of our company or cause us to engage in a transaction resulting in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a risk that we will be a passive foreign investment company for any taxable year, which could result in adverse U.S. federal income tax consequences to U.S. investors in the Ordinary Shares.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corporation is a passive foreign investment company, or PFIC, for any taxable year in which (i) 75% or more of its gross income consists of passive income or (ii) 50% or more of the average quarterly value of its assets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expected composition of our income and assets and the value of our assets, including goodwill, we do not expect to be a PFIC for our current taxable year. However, the proper application of the PFIC rules to a company with a business such as ours is not entirely clear. Because the proper characterization of certain components of our income and assets is less than certain, and because our PFIC status for any taxable year will depend on the composition of our income and assets and the value of our assets from time to time (which may be determined, in part, by reference to the market price of the Ordinary Shares, which could be volatile), there can be no assurance that we will not be a PFIC for our current taxable year or any future taxable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a PFIC for any taxable year during which a U.S. investor holds the Ordinary Shares, certain adverse U.S. federal income tax consequences could apply to such U.S. investor.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economic substance requirements may have an effect on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International Tax Cooperation (Economic Substance) Act, 2018 of the Cayman Islands (“ES Act”) that came into force on January 1,2019, a “relevant entity” is required to satisfy the economic substance test set out in the ES Act. A “relevant entity” includes an exempted company incorporated in the Cayman Islands as is Solowin; however, it does not include an entity that is tax resident outside the Cayman Islands. Accordingly, for so long as the Company is a tax resident outside the Cayman Islands, including in Hong Kong, it is not required to satisfy the economic substance test set out in the ES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4"/>
      <w:bookmarkEnd w:id="16"/>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or incorporates forward-looking statements within the meaning of section 27A of the Securities Act and section 21E of the Exchange Act. These forward-looking statements are management’s beliefs and assumptions. In addition, other written or oral statements that constitute forward-looking statements are based on current expectations, estimates and projections about the industry and markets in which we operate and statements may be made by or on our behalf. Words such as “should,” “could,” “may,”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There are a number of important factors that could cause our actual results to differ materially from those indicated by such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describe material risks, uncertainties and assumptions that could affect our business, including our financial condition and results of operations, under “Risk Factors” and may update our descriptions of such risks, uncertainties and assumptions in any prospectus supplement. We base our forward-looking statements on our management’s beliefs and assumptions based on information available to our management at the time the statements are made. We caution you that actual outcomes and results may differ materially from what is expressed, implied or forecast by our forward-looking statements. Accordingly, you should be careful about relying on any forward-looking statements. Reference is made in particular to forward-looking statements regarding growth strategies, financial results, product and service development, competitive strengths, intellectual property rights, litigation, mergers and acquisitions, market acceptance or continued acceptance of our products and services, accounting estimates, financing activities, ongoing contractual obligations and sales efforts. Except as required under the federal securities laws, the rules and regulations of the SEC, stock exchange rules, and other applicable laws, regulations and rules, we do not have any intention or obligation to update publicly any forward-looking statements after the distribution of this prospectus, whether as a result of new information, future events, changes in assumptions, or otherwise.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5"/>
      <w:bookmarkEnd w:id="17"/>
      <w:r>
        <w:rPr>
          <w:rFonts w:ascii="Times New Roman;Times;Serif" w:hAnsi="Times New Roman;Times;Serif"/>
          <w:b/>
          <w:i w:val="false"/>
          <w:caps w:val="false"/>
          <w:smallCaps w:val="false"/>
          <w:sz w:val="20"/>
        </w:rPr>
        <w:t>USE OF PROCEEDS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accompanying prospectus supplement, the net proceeds from the sale of the securities offered hereby will be used for general corporate purposes, which may include working capital, capital expenditures, debt repayment, or acquisitions. Depending on future events and others changes in the business climate, we may determine at a later time to use the net proceeds for different purposes. As a result, our management will have broad discretion in the allocation of the net proceeds and investors will be relying on the judgment of our management regarding the application of the proceeds of any sale of the securities. In the event that any net proceeds are not immediately applied, we may temporarily hold them as cash, deposit them in banks or invest them in cash equivalents or securities. We have not allocated any portion of the net proceeds for any particular use at this time. Specific information concerning the use of proceeds from the sale of any securities will be included in the prospectus supplement relating to the particular offering in which they are sold.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Ordinary Shares owned by the selling shareholder. The selling shareholder will receive all of the net proceeds from the sale of any securities offered by it under this prospectus. We have agreed to bear expenses incurred by the selling shareholder that relate to the registration of the Ordinary Shares being offered and sold by the selling shareholder, including the SEC registration fee and legal, accounting, printing and other expenses of this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6"/>
      <w:bookmarkEnd w:id="18"/>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and indebtedness will be set forth in a prospectus supplement to this prospectus or in a report of foreign private issuer on Form 6-K subsequently furnished to the SEC and specifically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7"/>
      <w:bookmarkEnd w:id="19"/>
      <w:r>
        <w:rPr>
          <w:rFonts w:ascii="Times New Roman;Times;Serif" w:hAnsi="Times New Roman;Times;Serif"/>
          <w:b/>
          <w:i w:val="false"/>
          <w:caps w:val="false"/>
          <w:smallCaps w:val="false"/>
          <w:sz w:val="20"/>
        </w:rPr>
        <w:t>DESCRIPTION OF SHARE CAPITAL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is $100,000 divided into 1,000,000,000 shares, with a nominal or par value of $0.0001 each.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October 24, 2024, there were 15,980,000 Ordinary Shares issued and outstanding, and no preferred shares issued and outstanding.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Ordinary Shares and preferred shares, including the rights and obligations attached thereto, please refer to Exhibit 2.1 to our Annual Report on Form 20-F for the fiscal year ended March 31, 2024, which is incorporated by reference herein.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8"/>
      <w:bookmarkEnd w:id="20"/>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general terms of the debt securities that we may issue and is not intended to be complete. If debt securities are issued, we will describe in the applicable prospectus supplement the particular terms and provisions of any series of the debt securities and a description of how the general terms and provisions described below may apply to that series of the debt securities. The terms presented here, together with the terms in a related prospectus supplement, will be a description of the material terms of the debt securities. You should also read the indenture under which the debt securities are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from time to time, debt securities, in one or more series, that will consist of senior debt, senior subordinated debt or subordinated debt. We refer to the subordinated debt securities and the senior subordinated debt securities together as the subordinated securities. Debt securities, whether senior, senior subordinated or subordinated, may be issued as convertible debt securities or exchangeable debt securities. It is likely that convertible debt securities will not be issued under an indenture. We may issue the debt securities independently or together with any underlying securities, and debt securities may be attached or separate from the underlying securities. We may also issue the debt securities under an indenture between us and an entity, identified in the applicable prospectus supplement, as trustee. We have filed with the SEC a form of indenture governing different types of debt securities that we may offer as an exhibit to the registration statement of which this prospectus is a part. The following is a summary of the material provisions of the indenture filed as an exhibit to the registration statement of which this prospectus is a part. All capitalized terms have the meanings specified in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you read this section, please remember that for each series of debt securities, the specific terms of your debt security as described in the applicable prospectus supplement will supplement and, if applicable, may modify or replace the general terms described in the summary below. The statement we make in this section may not apply to your debt security. Prospective investors should rely on information in the applicable prospectus supplement and not on the following information to the extent that the information in such prospectus supplement is different from the following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Terms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securities that we may issue. It provides that we may issue debt securities up to the principal amount that we may authorize and may be in any currency or currency unit that we may designate. We may, without the consent of the holders of any series, increase the principal amount of securities in that series in the future, on the same terms and conditions and with the same CUSIP numbers as that series.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Material U.S. federal income tax considerations applicable to debt securities issued with original issue discount will be described in more detail in any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for a series of debt securities that we issue will describe, among other things, the following terms of the offered debt securities:</w:t>
      </w:r>
    </w:p>
    <w:p>
      <w:pPr>
        <w:pStyle w:val="TextBody"/>
        <w:bidi w:val="0"/>
        <w:spacing w:before="0" w:after="0"/>
        <w:ind w:left="0" w:right="0" w:hanging="0"/>
        <w:jc w:val="both"/>
        <w:rPr>
          <w:caps w:val="false"/>
          <w:smallCaps w:val="false"/>
        </w:rPr>
      </w:pPr>
      <w:r>
        <w:rPr>
          <w:caps w:val="false"/>
          <w:smallCaps w:val="false"/>
        </w:rPr>
        <w:t> </w:t>
      </w:r>
    </w:p>
    <w:tbl>
      <w:tblPr>
        <w:tblW w:w="5883" w:type="dxa"/>
        <w:jc w:val="left"/>
        <w:tblInd w:w="0" w:type="dxa"/>
        <w:tblLayout w:type="fixed"/>
        <w:tblCellMar>
          <w:top w:w="0" w:type="dxa"/>
          <w:left w:w="0" w:type="dxa"/>
          <w:bottom w:w="0" w:type="dxa"/>
          <w:right w:w="0" w:type="dxa"/>
        </w:tblCellMar>
      </w:tblPr>
      <w:tblGrid>
        <w:gridCol w:w="38"/>
        <w:gridCol w:w="170"/>
        <w:gridCol w:w="5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75" w:type="dxa"/>
            <w:tcBorders/>
            <w:vAlign w:val="center"/>
          </w:tcPr>
          <w:p>
            <w:pPr>
              <w:pStyle w:val="TableContents"/>
              <w:bidi w:val="0"/>
              <w:spacing w:before="0" w:after="283"/>
              <w:jc w:val="both"/>
              <w:rPr>
                <w:sz w:val="20"/>
              </w:rPr>
            </w:pPr>
            <w:r>
              <w:rPr>
                <w:sz w:val="20"/>
              </w:rPr>
              <w:t>the title and authorized denominations of the series of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sz w:val="20"/>
              </w:rPr>
            </w:pPr>
            <w:r>
              <w:rPr>
                <w:sz w:val="20"/>
              </w:rPr>
              <w:t>any limit on the aggregate principal amount of the series of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whether such debt securities will be issued in fully registered form without coupons or in a form registered as to principal only with coupons or in bearer form with coupons;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whether issued in the form of one or more global securities and whether all or a portion of the principal amount of the debt securities is represented thereby;</w:t>
            </w:r>
          </w:p>
        </w:tc>
      </w:tr>
    </w:tbl>
    <w:p>
      <w:pPr>
        <w:pStyle w:val="TextBody"/>
        <w:bidi w:val="0"/>
        <w:spacing w:before="0" w:after="0"/>
        <w:ind w:left="720" w:right="0" w:hanging="0"/>
        <w:jc w:val="both"/>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17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sz w:val="20"/>
              </w:rPr>
            </w:pPr>
            <w:r>
              <w:rPr>
                <w:sz w:val="20"/>
              </w:rPr>
              <w:t>the price or prices at which the debt securities will be issued;</w:t>
            </w:r>
          </w:p>
        </w:tc>
      </w:tr>
    </w:tbl>
    <w:p>
      <w:pPr>
        <w:pStyle w:val="TextBody"/>
        <w:bidi w:val="0"/>
        <w:spacing w:before="0" w:after="0"/>
        <w:ind w:left="72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sz w:val="20"/>
              </w:rPr>
            </w:pPr>
            <w:r>
              <w:rPr>
                <w:sz w:val="20"/>
              </w:rPr>
              <w:t>the date or dates on which principal is payable;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place or places where and the manner in which principal, premium or interest, if any, will be payable and the place or places where the debt securities may be presented for transfer and, if applicable, conversion or exchange;</w:t>
            </w:r>
          </w:p>
        </w:tc>
      </w:tr>
    </w:tbl>
    <w:p>
      <w:pPr>
        <w:pStyle w:val="TextBody"/>
        <w:bidi w:val="0"/>
        <w:spacing w:before="0" w:after="0"/>
        <w:ind w:left="720" w:right="0" w:hanging="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sz w:val="20"/>
              </w:rPr>
            </w:pPr>
            <w:r>
              <w:rPr>
                <w:sz w:val="20"/>
              </w:rPr>
              <w:t>interest rates, and the dates from which interest, if any, will accrue, and the dates when interest is payable and the maturity;</w:t>
            </w:r>
          </w:p>
        </w:tc>
      </w:tr>
    </w:tbl>
    <w:p>
      <w:pPr>
        <w:pStyle w:val="TextBody"/>
        <w:bidi w:val="0"/>
        <w:spacing w:before="0" w:after="0"/>
        <w:ind w:left="720" w:right="0" w:hanging="0"/>
        <w:jc w:val="both"/>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170"/>
        <w:gridCol w:w="7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sz w:val="20"/>
              </w:rPr>
            </w:pPr>
            <w:r>
              <w:rPr>
                <w:sz w:val="20"/>
              </w:rPr>
              <w:t>the right, if any, to extend the interest payment periods and the duration of the extensions;</w:t>
            </w:r>
          </w:p>
        </w:tc>
      </w:tr>
    </w:tbl>
    <w:p>
      <w:pPr>
        <w:pStyle w:val="TextBody"/>
        <w:bidi w:val="0"/>
        <w:spacing w:before="0" w:after="0"/>
        <w:ind w:left="720" w:right="0" w:hanging="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sz w:val="20"/>
              </w:rPr>
            </w:pPr>
            <w:r>
              <w:rPr>
                <w:sz w:val="20"/>
              </w:rPr>
              <w:t>our rights or obligations to redeem or purchase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any sinking fund or other provisions that would obligate us to repurchase or otherwise redeem some or all of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170"/>
        <w:gridCol w:w="9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sz w:val="20"/>
              </w:rPr>
            </w:pPr>
            <w:r>
              <w:rPr>
                <w:sz w:val="20"/>
              </w:rPr>
              <w:t>conversion or exchange provisions, if any, including conversion or exchange prices or rates and adjustments thereto;</w:t>
            </w:r>
          </w:p>
        </w:tc>
      </w:tr>
    </w:tbl>
    <w:p>
      <w:pPr>
        <w:pStyle w:val="TextBody"/>
        <w:bidi w:val="0"/>
        <w:spacing w:before="0" w:after="0"/>
        <w:ind w:left="720" w:right="0" w:hanging="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38"/>
        <w:gridCol w:w="17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sz w:val="20"/>
              </w:rPr>
            </w:pPr>
            <w:r>
              <w:rPr>
                <w:sz w:val="20"/>
              </w:rPr>
              <w:t>the currency or currencies of payment of principal or interest;</w:t>
            </w:r>
          </w:p>
        </w:tc>
      </w:tr>
    </w:tbl>
    <w:p>
      <w:pPr>
        <w:pStyle w:val="TextBody"/>
        <w:bidi w:val="0"/>
        <w:spacing w:before="0" w:after="0"/>
        <w:ind w:left="720" w:right="0" w:hanging="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sz w:val="20"/>
              </w:rPr>
            </w:pPr>
            <w:r>
              <w:rPr>
                <w:sz w:val="20"/>
              </w:rPr>
              <w:t>the terms applicable to any debt securities issued at a discount from their stated principal amount;</w:t>
            </w:r>
          </w:p>
        </w:tc>
      </w:tr>
    </w:tbl>
    <w:p>
      <w:pPr>
        <w:pStyle w:val="TextBody"/>
        <w:bidi w:val="0"/>
        <w:spacing w:before="0" w:after="0"/>
        <w:ind w:left="720" w:right="0" w:hanging="0"/>
        <w:jc w:val="both"/>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17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both"/>
              <w:rPr>
                <w:sz w:val="20"/>
              </w:rPr>
            </w:pPr>
            <w:r>
              <w:rPr>
                <w:sz w:val="20"/>
              </w:rPr>
              <w:t>the terms, if any, under which any debt securities will rank junior to any of our other debt;</w:t>
            </w:r>
          </w:p>
        </w:tc>
      </w:tr>
    </w:tbl>
    <w:p>
      <w:pPr>
        <w:pStyle w:val="TextBody"/>
        <w:bidi w:val="0"/>
        <w:spacing w:before="0" w:after="0"/>
        <w:ind w:left="720" w:right="0" w:hanging="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17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sz w:val="20"/>
              </w:rPr>
            </w:pPr>
            <w:r>
              <w:rPr>
                <w:sz w:val="20"/>
              </w:rPr>
              <w:t>whether and upon what terms the debt securities may be defeased, if different from the provisions set forth in the indenture;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tc>
      </w:tr>
    </w:tbl>
    <w:p>
      <w:pPr>
        <w:pStyle w:val="TextBody"/>
        <w:bidi w:val="0"/>
        <w:spacing w:before="0" w:after="0"/>
        <w:ind w:left="720" w:right="0" w:hanging="0"/>
        <w:jc w:val="both"/>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170"/>
        <w:gridCol w:w="64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283"/>
              <w:jc w:val="both"/>
              <w:rPr>
                <w:sz w:val="20"/>
              </w:rPr>
            </w:pPr>
            <w:r>
              <w:rPr>
                <w:sz w:val="20"/>
              </w:rPr>
              <w:t>the provisions, if any, relating to any collateral provided for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other than the entire principal amount of the debt securities when issued, the portion of the principal amount payable upon acceleration of maturity as a result of a default on our obligations;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events of default and covenants relating to the debt securities that are in addition to, modify or delete those described in this prospectus;</w:t>
            </w:r>
          </w:p>
        </w:tc>
      </w:tr>
    </w:tbl>
    <w:p>
      <w:pPr>
        <w:pStyle w:val="TextBody"/>
        <w:bidi w:val="0"/>
        <w:spacing w:before="0" w:after="0"/>
        <w:ind w:left="720" w:right="0" w:hanging="0"/>
        <w:jc w:val="both"/>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sz w:val="20"/>
              </w:rPr>
            </w:pPr>
            <w:r>
              <w:rPr>
                <w:sz w:val="20"/>
              </w:rPr>
              <w:t>the nature and terms of any security for any secured debt securities; and</w:t>
            </w:r>
          </w:p>
        </w:tc>
      </w:tr>
    </w:tbl>
    <w:p>
      <w:pPr>
        <w:pStyle w:val="TextBody"/>
        <w:bidi w:val="0"/>
        <w:spacing w:before="0" w:after="0"/>
        <w:ind w:left="720" w:right="0" w:hanging="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sz w:val="20"/>
              </w:rPr>
            </w:pPr>
            <w:r>
              <w:rPr>
                <w:sz w:val="20"/>
              </w:rPr>
              <w:t>any other specific terms of any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present material U.S. federal income tax considerations for holders of any debt securities and the securities exchange or quotation system on which any debt securities are to be listed or quoted.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premium and interest, if any, on senior debt securities will rank on a parity with all of our other secured/unsecured and unsubordinated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premium and interest, if any, on senior subordinated debt securities will be junior in right of payment to the prior payment in full of all of our unsubordinated debt, including senior debt securities and any credit facility. We will state in the applicable prospectus supplement relating to any senior subordinated debt securities the subordination terms of the securities as well as the aggregate amount of outstanding debt, as of the most recent practicable date, that by its terms would be senior to the senior subordinated debt securities. We will also state in such prospectus supplement limitations, if any, on issuance of additional senior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premium and interest, if any, on subordinated debt securities will be subordinated and junior in right of payment to the prior payment in full of all of our senior debt, including our senior debt securities and senior subordinated debt securities. We will state in the applicable prospectus supplement relating to any subordinated debt securities the subordination terms of the securities as well as the aggregate amount of outstanding indebtedness, as of the most recent practicable date, that by its terms would be senior to the subordinated debt securities. We will also state in such prospectus supplement limitations, if any, on issuance of additional senior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convertible into or exchangeable for other securities being registered in this registration statement, including, for example, shares of our equity securities. The terms and conditions of conversion or exchange will be stated in the applicable prospectus supplement. The terms will include, among others, the following:</w:t>
      </w:r>
    </w:p>
    <w:p>
      <w:pPr>
        <w:pStyle w:val="TextBody"/>
        <w:bidi w:val="0"/>
        <w:spacing w:before="0" w:after="0"/>
        <w:ind w:left="0" w:right="0" w:hanging="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sz w:val="20"/>
              </w:rPr>
            </w:pPr>
            <w:r>
              <w:rPr>
                <w:sz w:val="20"/>
              </w:rPr>
              <w:t>the conversion or exchange price;</w:t>
            </w:r>
          </w:p>
        </w:tc>
      </w:tr>
    </w:tbl>
    <w:p>
      <w:pPr>
        <w:pStyle w:val="TextBody"/>
        <w:bidi w:val="0"/>
        <w:spacing w:before="0" w:after="0"/>
        <w:ind w:left="720" w:right="0" w:hanging="0"/>
        <w:jc w:val="both"/>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both"/>
              <w:rPr>
                <w:sz w:val="20"/>
              </w:rPr>
            </w:pPr>
            <w:r>
              <w:rPr>
                <w:sz w:val="20"/>
              </w:rPr>
              <w:t>the conversion or exchange period;</w:t>
            </w:r>
          </w:p>
        </w:tc>
      </w:tr>
    </w:tbl>
    <w:p>
      <w:pPr>
        <w:pStyle w:val="TextBody"/>
        <w:bidi w:val="0"/>
        <w:spacing w:before="0" w:after="0"/>
        <w:ind w:left="720" w:right="0" w:hanging="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17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95" w:type="dxa"/>
            <w:tcBorders/>
            <w:vAlign w:val="center"/>
          </w:tcPr>
          <w:p>
            <w:pPr>
              <w:pStyle w:val="TableContents"/>
              <w:bidi w:val="0"/>
              <w:spacing w:before="0" w:after="283"/>
              <w:jc w:val="both"/>
              <w:rPr>
                <w:sz w:val="20"/>
              </w:rPr>
            </w:pPr>
            <w:r>
              <w:rPr>
                <w:sz w:val="20"/>
              </w:rPr>
              <w:t>provisions regarding the ability of us or the holder to convert or exchange the debt securities;</w:t>
            </w:r>
          </w:p>
        </w:tc>
      </w:tr>
    </w:tbl>
    <w:p>
      <w:pPr>
        <w:pStyle w:val="TextBody"/>
        <w:bidi w:val="0"/>
        <w:spacing w:before="0" w:after="0"/>
        <w:ind w:left="720" w:right="0" w:hanging="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sz w:val="20"/>
              </w:rPr>
            </w:pPr>
            <w:r>
              <w:rPr>
                <w:sz w:val="20"/>
              </w:rPr>
              <w:t>events requiring adjustment to the conversion or exchange price; and</w:t>
            </w:r>
          </w:p>
        </w:tc>
      </w:tr>
    </w:tbl>
    <w:p>
      <w:pPr>
        <w:pStyle w:val="TextBody"/>
        <w:bidi w:val="0"/>
        <w:spacing w:before="0" w:after="0"/>
        <w:ind w:left="720" w:right="0" w:hanging="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8"/>
        <w:gridCol w:w="170"/>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sz w:val="20"/>
              </w:rPr>
            </w:pPr>
            <w:r>
              <w:rPr>
                <w:sz w:val="20"/>
              </w:rPr>
              <w:t>provisions affecting conversion or exchange in the event of our redemption of the debt securities.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consolidate or merge with or into, or transfer or lease all or substantially all of our assets to, any person, and we cannot permit any other person to consolidate with or merge into us, unless (1) we will be the continuing corporation or (2) the successor corporation or person to which our assets are transferred or leased is a corporation organized under the laws of the United States, any state of the United States or the District of Columbia and it expressly assumes our obligations under the debt securities and the indenture. In addition, we cannot complete such a transaction unless immediately after completing the transaction, no event of default under the indenture, and no event which, after notice or lapse of time or both, would become an event of default under the indenture, shall have occurred and be continuing. When the person to whom our assets are transferred or leased has assumed our obligations under the debt securities and the indenture, we shall be discharged from all our obligations under the debt securities and the indenture except in limited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covenant would not apply to any recapitalization transaction, a change of control of us or a highly leveraged transaction, unless the transaction or change of control were structured to include a merger or consolidation or transfer or lease of all or substantially all of our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“Event of Default,” when used in the indenture, unless otherwise indicated, means any of the following:</w:t>
      </w:r>
    </w:p>
    <w:p>
      <w:pPr>
        <w:pStyle w:val="TextBody"/>
        <w:bidi w:val="0"/>
        <w:spacing w:before="0" w:after="0"/>
        <w:ind w:left="0" w:right="0" w:hanging="0"/>
        <w:jc w:val="both"/>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sz w:val="20"/>
              </w:rPr>
            </w:pPr>
            <w:r>
              <w:rPr>
                <w:sz w:val="20"/>
              </w:rPr>
              <w:t>failure to pay interest for 30 days after the date payment is due and payable;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failure to pay principal or premium, if any, on any debt security when due, either at maturity, upon any redemption, by declaration or otherwise;</w:t>
            </w:r>
          </w:p>
        </w:tc>
      </w:tr>
    </w:tbl>
    <w:p>
      <w:pPr>
        <w:pStyle w:val="TextBody"/>
        <w:bidi w:val="0"/>
        <w:spacing w:before="0" w:after="0"/>
        <w:ind w:left="720"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sz w:val="20"/>
              </w:rPr>
            </w:pPr>
            <w:r>
              <w:rPr>
                <w:sz w:val="20"/>
              </w:rPr>
              <w:t>failure to make sinking fund payments when due;</w:t>
            </w:r>
          </w:p>
        </w:tc>
      </w:tr>
    </w:tbl>
    <w:p>
      <w:pPr>
        <w:pStyle w:val="TextBody"/>
        <w:bidi w:val="0"/>
        <w:spacing w:before="0" w:after="0"/>
        <w:ind w:left="720" w:right="0" w:hanging="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17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sz w:val="20"/>
              </w:rPr>
            </w:pPr>
            <w:r>
              <w:rPr>
                <w:sz w:val="20"/>
              </w:rPr>
              <w:t>failure to perform other covenants for 60 days after notice that performance was required;</w:t>
            </w:r>
          </w:p>
        </w:tc>
      </w:tr>
    </w:tbl>
    <w:p>
      <w:pPr>
        <w:pStyle w:val="TextBody"/>
        <w:bidi w:val="0"/>
        <w:spacing w:before="0" w:after="0"/>
        <w:ind w:left="720" w:right="0" w:hanging="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sz w:val="20"/>
              </w:rPr>
            </w:pPr>
            <w:r>
              <w:rPr>
                <w:sz w:val="20"/>
              </w:rPr>
              <w:t>events in bankruptcy, insolvency or reorganization relating to us; 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any other Event of Default provided in the applicable officer’s certificate, resolution of our board of directors or the supplemental indenture under which we issue a series of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for a particular series of debt securities does not necessarily constitute an Event of Default for any other series of debt securities issued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series of senior debt securities occurs and is continuing, then either the trustee for such series or the holders of a majority in aggregate principal amount of the outstanding debt securities of such series, by notice in writing, may declare the principal amount of and interest on all of the debt securities of such series to be due and payable immediately; provided, however, unless otherwise provided in the applicable prospectus supplement, if such an Event of Default occurs and is continuing with respect to more than one series of senior debt securities under the indenture, the trustee for such series or the holders of a majority in aggregate principal amount of the outstanding debt securities of all such series of senior debt securities of equal ranking (or, if any of such senior debt securities are discount securities, such portion of the principal amount as may be specified in the terms of that series), voting as one class, may make such declaration of acceleration as to all series of such equal ranking and not the holders of the debt securities of any one of such series of senior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series of subordinated securities occurs and is continuing, then either the trustee for such series or the holders of a majority in aggregate principal amount of the outstanding debt securities of such series, by notice in writing, may declare the principal amount of and interest on all of the debt securities of such series to be due and payable immediately; provided, however, unless otherwise provided in the applicable prospectus supplement, if such an Event of Default occurs and is continuing with respect to more than one series of subordinated securities under the indenture, the trustee for such series or the holders of a majority in aggregate principal amount of the outstanding debt securities of all such series of subordinated securities of equal ranking (or, if any of such subordinated securities are discount securities, such portion of the principal amount as may be specified in the terms of that series), voting as one class, may make such declaration of acceleration as to all series of equal ranking and not the holders of the debt securities of any one of such series of subordinated securities. The holders of not less than a majority in aggregate principal amount of the debt securities of all affected series of equal ranking may, after satisfying certain conditions, rescind and annul any of the above-described declarations and consequences involving such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relating to events in bankruptcy, insolvency or reorganization of us occurs and is continuing, then the principal amount of all of the debt securities outstanding, and any accrued interest, will automatically become due and payable immediately, without any declaration or other act by the trustee or any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pStyle w:val="TextBody"/>
        <w:bidi w:val="0"/>
        <w:spacing w:before="0" w:after="0"/>
        <w:ind w:left="0" w:right="0" w:hanging="0"/>
        <w:jc w:val="both"/>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both"/>
              <w:rPr>
                <w:sz w:val="20"/>
              </w:rPr>
            </w:pPr>
            <w:r>
              <w:rPr>
                <w:sz w:val="20"/>
              </w:rPr>
              <w:t>the holder has previously given to the trustee written notice of default and continuance of such default;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holders of not less than a majority in principal amount of the outstanding debt securities of the affected series of equal ranking have requested that the trustee institute the action;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requesting holders have offered the trustee reasonable indemnity for expenses and liabilities that may be incurred by bringing the action;</w:t>
            </w:r>
          </w:p>
        </w:tc>
      </w:tr>
    </w:tbl>
    <w:p>
      <w:pPr>
        <w:pStyle w:val="TextBody"/>
        <w:bidi w:val="0"/>
        <w:spacing w:before="0" w:after="0"/>
        <w:ind w:left="720" w:right="0" w:hanging="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sz w:val="20"/>
              </w:rPr>
            </w:pPr>
            <w:r>
              <w:rPr>
                <w:sz w:val="20"/>
              </w:rPr>
              <w:t>the trustee has not instituted the action within 60 days of the request;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trustee has not received inconsistent direction by the holders of a majority in principal amount of the outstanding debt securities of the affected series of equal ranking.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file annually with the trustee a certificate, signed by one of our officers, stating whether or not the officer knows of any default by us in the performance, observance or fulfillment of any condition or covenant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Global Securities and Book Entry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 a series may be issued in whole or in part in book-entry form and may be represented by one or more fully registered global securities or in unregistered form with or without coupons.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and until it is exchanged in whole or in part for debt securities in definitive registered form, a registered global security may not be transferred except as a whole:</w:t>
      </w:r>
    </w:p>
    <w:p>
      <w:pPr>
        <w:pStyle w:val="TextBody"/>
        <w:bidi w:val="0"/>
        <w:spacing w:before="0" w:after="0"/>
        <w:ind w:left="0" w:right="0" w:hanging="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sz w:val="20"/>
              </w:rPr>
            </w:pPr>
            <w:r>
              <w:rPr>
                <w:sz w:val="20"/>
              </w:rPr>
              <w:t>by the depositary for such registered global security to its nominee;</w:t>
            </w:r>
          </w:p>
        </w:tc>
      </w:tr>
    </w:tbl>
    <w:p>
      <w:pPr>
        <w:pStyle w:val="TextBody"/>
        <w:bidi w:val="0"/>
        <w:spacing w:before="0" w:after="0"/>
        <w:ind w:left="720" w:right="0" w:hanging="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by a nominee of the depositary to the depositary or another nominee of the depositary; or</w:t>
            </w:r>
          </w:p>
        </w:tc>
      </w:tr>
    </w:tbl>
    <w:p>
      <w:pPr>
        <w:pStyle w:val="TextBody"/>
        <w:bidi w:val="0"/>
        <w:spacing w:before="0" w:after="0"/>
        <w:ind w:left="720"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sz w:val="20"/>
              </w:rPr>
            </w:pPr>
            <w:r>
              <w:rPr>
                <w:sz w:val="20"/>
              </w:rPr>
              <w:t>by the depositary or its nominee to a successor of the depositary or a nominee of the successor.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registered debt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any dealers, underwriters, or agents participating in the distribution of the debt securities represented by a registered global security will designate the accounts to be credited;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ownership of beneficial interest in such registered global security will be shown on, and the transfer of such ownership interest will be effected only through, records maintained by the depositary for such registered global security for interests of participants, and on the records of participants for interests of persons holding through participants.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for a registered global security, or its nominee, is the registered owner of such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pStyle w:val="TextBody"/>
        <w:bidi w:val="0"/>
        <w:spacing w:before="0" w:after="0"/>
        <w:ind w:left="0" w:right="0" w:hanging="0"/>
        <w:jc w:val="both"/>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sz w:val="20"/>
              </w:rPr>
            </w:pPr>
            <w:r>
              <w:rPr>
                <w:sz w:val="20"/>
              </w:rPr>
              <w:t>will not be entitled to have the debt securities represented by a registered global security registered in their names;</w:t>
            </w:r>
          </w:p>
        </w:tc>
      </w:tr>
    </w:tbl>
    <w:p>
      <w:pPr>
        <w:pStyle w:val="TextBody"/>
        <w:bidi w:val="0"/>
        <w:spacing w:before="0" w:after="0"/>
        <w:ind w:left="720" w:right="0" w:hanging="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17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sz w:val="20"/>
              </w:rPr>
            </w:pPr>
            <w:r>
              <w:rPr>
                <w:sz w:val="20"/>
              </w:rPr>
              <w:t>will not receive or be entitled to receive physical delivery of the debt securities in the definitive form; and</w:t>
            </w:r>
          </w:p>
        </w:tc>
      </w:tr>
    </w:tbl>
    <w:p>
      <w:pPr>
        <w:pStyle w:val="TextBody"/>
        <w:bidi w:val="0"/>
        <w:spacing w:before="0" w:after="0"/>
        <w:ind w:left="720" w:right="0" w:hanging="0"/>
        <w:jc w:val="both"/>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sz w:val="20"/>
              </w:rPr>
            </w:pPr>
            <w:r>
              <w:rPr>
                <w:sz w:val="20"/>
              </w:rPr>
              <w:t>will not be considered the owners or holders of the debt securities under the relevant indenture.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us,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debt securities represented by a registered global security is at any time unwilling or unable to continue as depositary or stops being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who shall instruct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issue bearer debt securities of a series in the form of one or more global securities, referred to as “bearer global securities.” The prospectus supplement relating to a series of debt securities represented by a bearer global security will describe the applicable terms and procedures. These will include the specific terms of the depositary arrangement and any specific procedures for the issuance of debt securities in definitive form in exchange for a bearer global security, in proportion to the series represented by a bearer global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 Defeasance and Covenant Defeasance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discharge or decrease our obligations under the indenture as stated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sixty (60) days. We may effect a discharge by irrevocably depositing with the trustee cash or U.S. government obligations, as trust funds, in an amount certified to be enough to pay when due, whether at maturity, upon redemption or otherwise, the principal of, premium and interest, if any, on the debt securities and any mandatory sinking fund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we irrevocably deposit with the trustee cash or U.S. government obligations, as trust funds, in an amount certified to be enough to pay at maturity, or upon redemption, the principal, premium and interest, if any, on all outstanding debt securities of the series;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and interest, if any, payments on the series of debt securities;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in the case of subordinated debt securities, no event or condition shall exist that, based on the subordination provisions applicable to the series, would prevent us from making payments of principal of, premium and interest, if any, on any of the applicable subordinated debt securities at the date of the irrevocable deposit referred to above or at any time during the period ending on the 91st day after the deposit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we and the trustee may enter into supplemental indentures without the consent of the holders of debt securities to:</w:t>
      </w:r>
    </w:p>
    <w:p>
      <w:pPr>
        <w:pStyle w:val="TextBody"/>
        <w:bidi w:val="0"/>
        <w:spacing w:before="0" w:after="0"/>
        <w:ind w:left="0" w:right="0" w:hanging="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17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both"/>
              <w:rPr>
                <w:sz w:val="20"/>
              </w:rPr>
            </w:pPr>
            <w:r>
              <w:rPr>
                <w:sz w:val="20"/>
              </w:rPr>
              <w:t>secure any debt securities and provide the terms and conditions for the release or substitution of the security;</w:t>
            </w:r>
          </w:p>
        </w:tc>
      </w:tr>
    </w:tbl>
    <w:p>
      <w:pPr>
        <w:pStyle w:val="TextBody"/>
        <w:bidi w:val="0"/>
        <w:spacing w:before="0" w:after="0"/>
        <w:ind w:left="72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sz w:val="20"/>
              </w:rPr>
            </w:pPr>
            <w:r>
              <w:rPr>
                <w:sz w:val="20"/>
              </w:rPr>
              <w:t>evidence the assumption by a successor corporation of our obligations;</w:t>
            </w:r>
          </w:p>
        </w:tc>
      </w:tr>
    </w:tbl>
    <w:p>
      <w:pPr>
        <w:pStyle w:val="TextBody"/>
        <w:bidi w:val="0"/>
        <w:spacing w:before="0" w:after="0"/>
        <w:ind w:left="720" w:right="0" w:hanging="0"/>
        <w:jc w:val="both"/>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sz w:val="20"/>
              </w:rPr>
            </w:pPr>
            <w:r>
              <w:rPr>
                <w:sz w:val="20"/>
              </w:rPr>
              <w:t>add covenants for the protection of the holders of debt securities;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720" w:right="0" w:hanging="0"/>
        <w:jc w:val="both"/>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sz w:val="20"/>
              </w:rPr>
            </w:pPr>
            <w:r>
              <w:rPr>
                <w:sz w:val="20"/>
              </w:rPr>
              <w:t>add any additional events of default;</w:t>
            </w:r>
          </w:p>
        </w:tc>
      </w:tr>
    </w:tbl>
    <w:p>
      <w:pPr>
        <w:pStyle w:val="TextBody"/>
        <w:bidi w:val="0"/>
        <w:spacing w:before="0" w:after="0"/>
        <w:ind w:left="720" w:right="0" w:hanging="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sz w:val="20"/>
              </w:rPr>
            </w:pPr>
            <w:r>
              <w:rPr>
                <w:sz w:val="20"/>
              </w:rPr>
              <w:t>cure any ambiguity or correct any inconsistency or defect in the indenture;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add to, change or eliminate any of the provisions of the indenture in a manner that will become effective only when there is no outstanding debt security which is entitled to the benefit of the provision as to which the modification would apply;</w:t>
            </w:r>
          </w:p>
        </w:tc>
      </w:tr>
    </w:tbl>
    <w:p>
      <w:pPr>
        <w:pStyle w:val="TextBody"/>
        <w:bidi w:val="0"/>
        <w:spacing w:before="0" w:after="0"/>
        <w:ind w:left="720" w:right="0" w:hanging="0"/>
        <w:jc w:val="both"/>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sz w:val="20"/>
              </w:rPr>
            </w:pPr>
            <w:r>
              <w:rPr>
                <w:sz w:val="20"/>
              </w:rPr>
              <w:t>establish the forms or terms of debt securities of any series;</w:t>
            </w:r>
          </w:p>
        </w:tc>
      </w:tr>
    </w:tbl>
    <w:p>
      <w:pPr>
        <w:pStyle w:val="TextBody"/>
        <w:bidi w:val="0"/>
        <w:spacing w:before="0" w:after="0"/>
        <w:ind w:left="720"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170"/>
        <w:gridCol w:w="7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sz w:val="20"/>
              </w:rPr>
            </w:pPr>
            <w:r>
              <w:rPr>
                <w:sz w:val="20"/>
              </w:rPr>
              <w:t>eliminate any conflict between the terms of the indenture and the Trust Indenture Act of 1939;</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evidence and provide for the acceptance of appointment by a successor trustee and add to or change any of the provisions of the indenture as is necessary for the administration of the trusts by more than one trustee;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also provides that we and the trustee may, with the consent of the holders of not less than a majority in aggregate principal amount of debt securities of all series of senior debt securities or of Subordinated Securities of equal ranking, as the case may be, then outstanding and affected, voting as one class, add any provisions to, or change in any manner, eliminate or modify in any way the provisions of, the indenture or modify in any manner the rights of the holders of the debt securities. We and the trustee may not, however, without the consent of the holder of each outstanding debt security affected thereby:</w:t>
      </w:r>
    </w:p>
    <w:p>
      <w:pPr>
        <w:pStyle w:val="TextBody"/>
        <w:bidi w:val="0"/>
        <w:spacing w:before="0" w:after="0"/>
        <w:ind w:left="0" w:right="0" w:hanging="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sz w:val="20"/>
              </w:rPr>
            </w:pPr>
            <w:r>
              <w:rPr>
                <w:sz w:val="20"/>
              </w:rPr>
              <w:t>extend the final maturity of any debt security;</w:t>
            </w:r>
          </w:p>
        </w:tc>
      </w:tr>
    </w:tbl>
    <w:p>
      <w:pPr>
        <w:pStyle w:val="TextBody"/>
        <w:bidi w:val="0"/>
        <w:spacing w:before="0" w:after="0"/>
        <w:ind w:left="720" w:right="0" w:hanging="0"/>
        <w:jc w:val="both"/>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17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both"/>
              <w:rPr>
                <w:sz w:val="20"/>
              </w:rPr>
            </w:pPr>
            <w:r>
              <w:rPr>
                <w:sz w:val="20"/>
              </w:rPr>
              <w:t>reduce the principal amount or premium, if any;</w:t>
            </w:r>
          </w:p>
        </w:tc>
      </w:tr>
    </w:tbl>
    <w:p>
      <w:pPr>
        <w:pStyle w:val="TextBody"/>
        <w:bidi w:val="0"/>
        <w:spacing w:before="0" w:after="0"/>
        <w:ind w:left="720" w:right="0" w:hanging="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sz w:val="20"/>
              </w:rPr>
            </w:pPr>
            <w:r>
              <w:rPr>
                <w:sz w:val="20"/>
              </w:rPr>
              <w:t>reduce the rate or extend the time of payment of interest;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reduce any amount payable on redemption or impair or affect any right of redemption at the option of the holder of the debt security;</w:t>
            </w:r>
          </w:p>
        </w:tc>
      </w:tr>
    </w:tbl>
    <w:p>
      <w:pPr>
        <w:pStyle w:val="TextBody"/>
        <w:bidi w:val="0"/>
        <w:spacing w:before="0" w:after="0"/>
        <w:ind w:left="720" w:right="0" w:hanging="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sz w:val="20"/>
              </w:rPr>
            </w:pPr>
            <w:r>
              <w:rPr>
                <w:sz w:val="20"/>
              </w:rPr>
              <w:t>change the currency in which the principal, premium or interest, if any, is payable;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reduce the amount of the principal of any debt security issued with an original issue discount that is payable upon acceleration or provable in bankruptcy;</w:t>
            </w:r>
          </w:p>
        </w:tc>
      </w:tr>
    </w:tbl>
    <w:p>
      <w:pPr>
        <w:pStyle w:val="TextBody"/>
        <w:bidi w:val="0"/>
        <w:spacing w:before="0" w:after="0"/>
        <w:ind w:left="0" w:right="0" w:hanging="0"/>
        <w:jc w:val="both"/>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170"/>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both"/>
              <w:rPr>
                <w:sz w:val="20"/>
              </w:rPr>
            </w:pPr>
            <w:r>
              <w:rPr>
                <w:sz w:val="20"/>
              </w:rPr>
              <w:t>alter provisions of the relevant indenture relating to the debt securities not denominated in U.S. dollars;</w:t>
            </w:r>
          </w:p>
        </w:tc>
      </w:tr>
    </w:tbl>
    <w:p>
      <w:pPr>
        <w:pStyle w:val="TextBody"/>
        <w:bidi w:val="0"/>
        <w:spacing w:before="0" w:after="0"/>
        <w:ind w:left="720" w:right="0" w:hanging="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sz w:val="20"/>
              </w:rPr>
            </w:pPr>
            <w:r>
              <w:rPr>
                <w:sz w:val="20"/>
              </w:rPr>
              <w:t>impair the right to institute suit for the enforcement of any payment on any debt security when due;</w:t>
            </w:r>
          </w:p>
        </w:tc>
      </w:tr>
    </w:tbl>
    <w:p>
      <w:pPr>
        <w:pStyle w:val="TextBody"/>
        <w:bidi w:val="0"/>
        <w:spacing w:before="0" w:after="0"/>
        <w:ind w:left="720" w:right="0" w:hanging="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75" w:type="dxa"/>
            <w:tcBorders/>
            <w:vAlign w:val="center"/>
          </w:tcPr>
          <w:p>
            <w:pPr>
              <w:pStyle w:val="TableContents"/>
              <w:bidi w:val="0"/>
              <w:spacing w:before="0" w:after="283"/>
              <w:jc w:val="both"/>
              <w:rPr>
                <w:sz w:val="20"/>
              </w:rPr>
            </w:pPr>
            <w:r>
              <w:rPr>
                <w:sz w:val="20"/>
              </w:rPr>
              <w:t>if applicable, adversely affect the right of a holder to convert or exchange a debt security; 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reduce the percentage of holders of debt securities of any series whose consent is required for any modification of the indenture.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holders of not less than a majority in aggregate principal amount of the then outstanding debt securities of any and all affected series of equal ranking, by notice to the relevant trustee, may on behalf of the holders of the debt securities of any and all such series of equal ranking waive any default and its consequences under the indenture except: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continuing default in the payment of interest on, premium, if any, or principal of, any such debt security held by a non-consenting holder; or</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default in respect of a covenant or provision of the indenture that cannot be modified or amended without the consent of the holder of each outstanding debt security of each series affected.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Concerning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premium and interest, if any, on, and all registration, transfer, exchange, authentication and delivery of, the debt securities of a series will be effected by the trustee for that series at an office designated by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any and all affected series of debt securities of equal ranking then outstanding will have the right to direct the time, method and place of conducting any proceeding for exercising any remedy available to the trustee concerning the applicable series of debt securities, provided that the direction:</w:t>
      </w:r>
    </w:p>
    <w:p>
      <w:pPr>
        <w:pStyle w:val="TextBody"/>
        <w:bidi w:val="0"/>
        <w:spacing w:before="0" w:after="0"/>
        <w:ind w:left="0" w:right="0" w:hanging="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17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sz w:val="20"/>
              </w:rPr>
            </w:pPr>
            <w:r>
              <w:rPr>
                <w:sz w:val="20"/>
              </w:rPr>
              <w:t>would not conflict with any rule of law or with the relevant indenture;</w:t>
            </w:r>
          </w:p>
        </w:tc>
      </w:tr>
    </w:tbl>
    <w:p>
      <w:pPr>
        <w:pStyle w:val="TextBody"/>
        <w:bidi w:val="0"/>
        <w:spacing w:before="0" w:after="0"/>
        <w:ind w:left="720" w:right="0" w:hanging="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sz w:val="20"/>
              </w:rPr>
            </w:pPr>
            <w:r>
              <w:rPr>
                <w:sz w:val="20"/>
              </w:rPr>
              <w:t>would not be unduly prejudicial to the rights of another holder of the debt securities; and</w:t>
            </w:r>
          </w:p>
        </w:tc>
      </w:tr>
    </w:tbl>
    <w:p>
      <w:pPr>
        <w:pStyle w:val="TextBody"/>
        <w:bidi w:val="0"/>
        <w:spacing w:before="0" w:after="0"/>
        <w:ind w:left="720" w:right="0" w:hanging="0"/>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sz w:val="20"/>
              </w:rPr>
            </w:pPr>
            <w:r>
              <w:rPr>
                <w:sz w:val="20"/>
              </w:rPr>
              <w:t>would not involve any trustee in personal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in case an Event of Default shall occur, not be cured and be known to any trustee, the trustee must use the same degree of care as a prudent person would use in the conduct of his or her own affairs in the exercise of the trustee’s power. The trustee will be under no obligation to exercise any of its rights or powers under the indenture at the request of any of the holders of the debt securities, unless they shall have offered to the trustee security and indemnity satisfactory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Individual Liability of Incorporators, Stockholders, Officers or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debt security thereunder, or for any claim based thereon or otherwise in respect thereof, shall be had against any incorporator, stockholder, officer or director, as such, past, present or future, of the Company or of any successor corporation, either directly or through the Company, whether by virtue of any constitution, statute or rule of law, or by the enforcement of any assessment or penalty or otherwise; it being expressly understood that this Indenture and the obligations issued hereunder are solely corporate obligations of the Company, and that no such personal liability whatever shall attach to, or is or shall be incurred by, the incorporators, stockholders, officers or directors, as such, of the Company or of any successor corporation, or any of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will be governed by, and construed in accordance with,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9"/>
      <w:bookmarkEnd w:id="21"/>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our Ordinary Shares, preferred shares, and/or debt securities in one or more series. We may issue warrants independently or together with our Ordinary Shares, preferred shares and/or debt securities, and the warrants may be attached to or traded separate and apart from these securities. Each series of warrants will be issued under a warrant agreement as set forth in the prospectus supplement. The applicable prospectus supplement or term sheet will describe the terms of the warrants offered thereby, any warrant agreement relating to such warrants and the warrant certificates,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both"/>
              <w:rPr>
                <w:sz w:val="20"/>
              </w:rPr>
            </w:pPr>
            <w:r>
              <w:rPr>
                <w:sz w:val="20"/>
              </w:rPr>
              <w:t>the title of the warrants;</w:t>
            </w:r>
          </w:p>
        </w:tc>
      </w:tr>
    </w:tbl>
    <w:p>
      <w:pPr>
        <w:pStyle w:val="TextBody"/>
        <w:bidi w:val="0"/>
        <w:spacing w:before="0" w:after="0"/>
        <w:ind w:left="720" w:right="0" w:hanging="0"/>
        <w:jc w:val="both"/>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38"/>
        <w:gridCol w:w="17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both"/>
              <w:rPr>
                <w:sz w:val="20"/>
              </w:rPr>
            </w:pPr>
            <w:r>
              <w:rPr>
                <w:sz w:val="20"/>
              </w:rPr>
              <w:t>the offering price or prices of the warrants, if any;</w:t>
            </w:r>
          </w:p>
        </w:tc>
      </w:tr>
    </w:tbl>
    <w:p>
      <w:pPr>
        <w:pStyle w:val="TextBody"/>
        <w:bidi w:val="0"/>
        <w:spacing w:before="0" w:after="0"/>
        <w:ind w:left="720" w:right="0" w:hanging="0"/>
        <w:jc w:val="both"/>
        <w:rPr>
          <w:caps w:val="false"/>
          <w:smallCaps w:val="false"/>
        </w:rPr>
      </w:pPr>
      <w:r>
        <w:rPr>
          <w:caps w:val="false"/>
          <w:smallCaps w:val="false"/>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sz w:val="20"/>
              </w:rPr>
            </w:pPr>
            <w:r>
              <w:rPr>
                <w:sz w:val="20"/>
              </w:rPr>
              <w:t>the minimum or maximum amount of the warrants which may be exercised at any one time;</w:t>
            </w:r>
          </w:p>
        </w:tc>
      </w:tr>
    </w:tbl>
    <w:p>
      <w:pPr>
        <w:pStyle w:val="TextBody"/>
        <w:bidi w:val="0"/>
        <w:spacing w:before="0" w:after="0"/>
        <w:ind w:left="720" w:right="0" w:hanging="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sz w:val="20"/>
              </w:rPr>
            </w:pPr>
            <w:r>
              <w:rPr>
                <w:sz w:val="20"/>
              </w:rPr>
              <w:t>the currency or currency units in which the offering price, if any, and the exercise price are payable;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number of securities, if any, with which such warrants are being offered and the number of such warrants being offered with each security;</w:t>
            </w:r>
          </w:p>
        </w:tc>
      </w:tr>
    </w:tbl>
    <w:p>
      <w:pPr>
        <w:pStyle w:val="TextBody"/>
        <w:bidi w:val="0"/>
        <w:spacing w:before="0" w:after="0"/>
        <w:ind w:left="720" w:right="0" w:hanging="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17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283"/>
              <w:jc w:val="both"/>
              <w:rPr>
                <w:sz w:val="20"/>
              </w:rPr>
            </w:pPr>
            <w:r>
              <w:rPr>
                <w:sz w:val="20"/>
              </w:rPr>
              <w:t>the date, if any, on and after which such warrants and the related securities, if any, will be transferable separately;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amount of securities purchasable upon exercise of each warrant and the price at which the securities may be purchased upon such exercise, and events or conditions under which the amount of securities may be subject to adjustment;</w:t>
            </w:r>
          </w:p>
        </w:tc>
      </w:tr>
    </w:tbl>
    <w:p>
      <w:pPr>
        <w:pStyle w:val="TextBody"/>
        <w:bidi w:val="0"/>
        <w:spacing w:before="0" w:after="0"/>
        <w:ind w:left="720" w:right="0" w:hanging="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170"/>
        <w:gridCol w:w="9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both"/>
              <w:rPr>
                <w:sz w:val="20"/>
              </w:rPr>
            </w:pPr>
            <w:r>
              <w:rPr>
                <w:sz w:val="20"/>
              </w:rPr>
              <w:t>the date on which the right to exercise such warrants shall commence and the date on which such right shall expire;</w:t>
            </w:r>
          </w:p>
        </w:tc>
      </w:tr>
    </w:tbl>
    <w:p>
      <w:pPr>
        <w:pStyle w:val="TextBody"/>
        <w:bidi w:val="0"/>
        <w:spacing w:before="0" w:after="0"/>
        <w:ind w:left="720" w:right="0" w:hanging="0"/>
        <w:jc w:val="both"/>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17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sz w:val="20"/>
              </w:rPr>
            </w:pPr>
            <w:r>
              <w:rPr>
                <w:sz w:val="20"/>
              </w:rPr>
              <w:t>the circumstances, if any, which will cause the warrants to be deemed to be automatically exercised;</w:t>
            </w:r>
          </w:p>
        </w:tc>
      </w:tr>
    </w:tbl>
    <w:p>
      <w:pPr>
        <w:pStyle w:val="TextBody"/>
        <w:bidi w:val="0"/>
        <w:spacing w:before="0" w:after="0"/>
        <w:ind w:left="720" w:right="0" w:hanging="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sz w:val="20"/>
              </w:rPr>
            </w:pPr>
            <w:r>
              <w:rPr>
                <w:sz w:val="20"/>
              </w:rPr>
              <w:t>any material risk factors, if any, relating to such warrants;</w:t>
            </w:r>
          </w:p>
        </w:tc>
      </w:tr>
    </w:tbl>
    <w:p>
      <w:pPr>
        <w:pStyle w:val="TextBody"/>
        <w:bidi w:val="0"/>
        <w:spacing w:before="0" w:after="0"/>
        <w:ind w:left="720" w:right="0" w:hanging="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both"/>
              <w:rPr>
                <w:sz w:val="20"/>
              </w:rPr>
            </w:pPr>
            <w:r>
              <w:rPr>
                <w:sz w:val="20"/>
              </w:rPr>
              <w:t>the identity of any warrant agent; and</w:t>
            </w:r>
          </w:p>
        </w:tc>
      </w:tr>
    </w:tbl>
    <w:p>
      <w:pPr>
        <w:pStyle w:val="TextBody"/>
        <w:bidi w:val="0"/>
        <w:spacing w:before="0" w:after="0"/>
        <w:ind w:left="720" w:right="0" w:hanging="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17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sz w:val="20"/>
              </w:rPr>
            </w:pPr>
            <w:r>
              <w:rPr>
                <w:sz w:val="20"/>
              </w:rPr>
              <w:t>any other material terms of the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holders of such warrants will not have any rights of holders of the securities purchasable upon such exercise, including the right to receive payments of dividends or the right to vote such underlying securities. Prospective purchasers of warrants should be aware that material U.S. federal income tax, accounting and other considerations may be applicable to instruments such as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10"/>
      <w:bookmarkEnd w:id="22"/>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Ordinary Shares, preferred shares, debt securities or other securities. Rights may be issued independently or together with any other offered security and may or may not be transferable by the person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pPr>
            <w:r>
              <w:rPr/>
              <w:t>the date of determining the security holders entitled to the rights distribution;</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aggregate number of rights issued and the aggregate amount of securities purchasable upon exercise of the rights;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2"/>
        <w:gridCol w:w="9542"/>
      </w:tblGrid>
      <w:tr>
        <w:trPr/>
        <w:tc>
          <w:tcPr>
            <w:tcW w:w="1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w:t>
            </w:r>
          </w:p>
        </w:tc>
        <w:tc>
          <w:tcPr>
            <w:tcW w:w="9542" w:type="dxa"/>
            <w:tcBorders/>
            <w:vAlign w:val="center"/>
          </w:tcPr>
          <w:p>
            <w:pPr>
              <w:pStyle w:val="TableContents"/>
              <w:bidi w:val="0"/>
              <w:spacing w:before="0" w:after="283"/>
              <w:jc w:val="both"/>
              <w:rPr/>
            </w:pPr>
            <w:r>
              <w:rPr/>
              <w:t>the exercise price for the rights;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49"/>
        <w:gridCol w:w="9778"/>
      </w:tblGrid>
      <w:tr>
        <w:trPr/>
        <w:tc>
          <w:tcPr>
            <w:tcW w:w="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w:t>
            </w:r>
          </w:p>
        </w:tc>
        <w:tc>
          <w:tcPr>
            <w:tcW w:w="9778" w:type="dxa"/>
            <w:tcBorders/>
            <w:vAlign w:val="center"/>
          </w:tcPr>
          <w:p>
            <w:pPr>
              <w:pStyle w:val="TableContents"/>
              <w:bidi w:val="0"/>
              <w:spacing w:before="0" w:after="283"/>
              <w:jc w:val="both"/>
              <w:rPr/>
            </w:pPr>
            <w:r>
              <w:rPr/>
              <w:t>the conditions to completion of the rights offering;</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date on which the right to exercise the rights will commence and the date on which the right will expire;</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5"/>
        <w:gridCol w:w="9845"/>
      </w:tblGrid>
      <w:tr>
        <w:trPr/>
        <w:tc>
          <w:tcPr>
            <w:tcW w:w="6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283"/>
              <w:jc w:val="both"/>
              <w:rPr/>
            </w:pPr>
            <w:r>
              <w:rPr/>
              <w:t>the extent to which such subscription rights are transferable;</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applicable, a discussion of the material Cayman Islands or United States federal income tax considerations applicable to the issuance or exercise of such subscription rights;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any other terms of the rights, including terms, procedures and limitations relating to the exchange and exercise of the rights;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extent to which the rights include an over-subscription privilege with respect to unsubscribed securities; and</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material terms of any standby underwriting agreement or other arrangement entered into by us in connection with the rights offering.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11"/>
      <w:bookmarkEnd w:id="23"/>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may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any provisions for the issuance, payment, settlement, transfer or exchange of the units or of the securities comprising the units; and</w:t>
            </w:r>
          </w:p>
        </w:tc>
      </w:tr>
    </w:tbl>
    <w:p>
      <w:pPr>
        <w:pStyle w:val="TextBody"/>
        <w:bidi w:val="0"/>
        <w:spacing w:before="0" w:after="0"/>
        <w:ind w:left="720" w:right="0" w:hanging="0"/>
        <w:jc w:val="both"/>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both"/>
              <w:rPr>
                <w:sz w:val="20"/>
              </w:rPr>
            </w:pPr>
            <w:r>
              <w:rPr>
                <w:sz w:val="20"/>
              </w:rPr>
              <w:t>any additional terms of the governing unit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2"/>
      <w:bookmarkEnd w:id="24"/>
      <w:r>
        <w:rPr>
          <w:rFonts w:ascii="Times New Roman;Times;Serif" w:hAnsi="Times New Roman;Times;Serif"/>
          <w:b/>
          <w:i w:val="false"/>
          <w:caps w:val="false"/>
          <w:smallCaps w:val="false"/>
          <w:sz w:val="20"/>
        </w:rPr>
        <w:t>SELLING SHAREHOLDER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possible resale by the selling shareholder listed in the table below, of up to 2,960,000 Ordinary Shares. These shares were acquired by the selling shareholder in 2022 through a private transaction consummated prior to our initial public offering in September 2023.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prospectus, the selling shareholder may from time to time offer and sell any or all of the Ordinary Shares set forth below. When we refer to the “selling shareholder” in this prospectus, we mean the selling shareholder listed in the table below and the pledgees, donees, transferees, assignees, successors and others who later come to hold any of the selling shareholder’s interest in such Ordinary Shares other than through a public sale.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is based on information supplied to us by the selling shareholder and sets forth, as of October 24, 2024, information regarding the selling shareholder’s beneficial ownership of our Ordinary Shares offered by it. Beneficial ownership is determined in accordance with the rules of the SEC. In computing the number of Ordinary Shares beneficially owned by the selling shareholder and the percentage of ownership of such selling shareholder, Ordinary Shares and underlying shares of convertible securities, options or warrants held by such selling shareholder that are convertible or exercisable, as the case may be, within 60 days of October 24, 2024 are included. The selling shareholder’s percentage of ownership in the following table is based upon 15,980,000 Ordinary Shares of the Company outstanding as of October 24, 2024.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5"/>
        <w:gridCol w:w="60"/>
        <w:gridCol w:w="104"/>
        <w:gridCol w:w="1727"/>
        <w:gridCol w:w="61"/>
        <w:gridCol w:w="61"/>
        <w:gridCol w:w="125"/>
        <w:gridCol w:w="1181"/>
        <w:gridCol w:w="215"/>
        <w:gridCol w:w="60"/>
        <w:gridCol w:w="64"/>
        <w:gridCol w:w="1048"/>
        <w:gridCol w:w="60"/>
        <w:gridCol w:w="60"/>
        <w:gridCol w:w="531"/>
        <w:gridCol w:w="1249"/>
        <w:gridCol w:w="125"/>
        <w:gridCol w:w="125"/>
        <w:gridCol w:w="406"/>
        <w:gridCol w:w="976"/>
        <w:gridCol w:w="82"/>
      </w:tblGrid>
      <w:tr>
        <w:trPr/>
        <w:tc>
          <w:tcPr>
            <w:tcW w:w="1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Before the 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After the Offering</w:t>
            </w:r>
          </w:p>
        </w:tc>
        <w:tc>
          <w:tcPr>
            <w:tcW w:w="82" w:type="dxa"/>
            <w:tcBorders/>
            <w:vAlign w:val="center"/>
          </w:tcPr>
          <w:p>
            <w:pPr>
              <w:pStyle w:val="TableContents"/>
              <w:bidi w:val="0"/>
              <w:spacing w:before="0" w:after="283"/>
              <w:jc w:val="left"/>
              <w:rPr/>
            </w:pPr>
            <w:r>
              <w:rPr/>
              <w:t> </w:t>
            </w:r>
          </w:p>
        </w:tc>
      </w:tr>
      <w:tr>
        <w:trPr/>
        <w:tc>
          <w:tcPr>
            <w:tcW w:w="1885" w:type="dxa"/>
            <w:tcBorders>
              <w:bottom w:val="single" w:sz="12" w:space="0" w:color="000000"/>
            </w:tcBorders>
            <w:tcMar>
              <w:bottom w:w="28" w:type="dxa"/>
            </w:tcMar>
            <w:vAlign w:val="center"/>
          </w:tcPr>
          <w:p>
            <w:pPr>
              <w:pStyle w:val="TableContents"/>
              <w:bidi w:val="0"/>
              <w:spacing w:before="0" w:after="283"/>
              <w:jc w:val="left"/>
              <w:rPr>
                <w:b/>
              </w:rPr>
            </w:pPr>
            <w:r>
              <w:rPr>
                <w:b/>
              </w:rPr>
              <w:t>Name of Selling Shareholder</w:t>
            </w:r>
          </w:p>
        </w:tc>
        <w:tc>
          <w:tcPr>
            <w:tcW w:w="60" w:type="dxa"/>
            <w:tcBorders/>
            <w:vAlign w:val="center"/>
          </w:tcPr>
          <w:p>
            <w:pPr>
              <w:pStyle w:val="TableContents"/>
              <w:bidi w:val="0"/>
              <w:spacing w:before="0" w:after="283"/>
              <w:jc w:val="left"/>
              <w:rPr/>
            </w:pPr>
            <w:r>
              <w:rPr/>
              <w:t> </w:t>
            </w:r>
          </w:p>
        </w:tc>
        <w:tc>
          <w:tcPr>
            <w:tcW w:w="18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Ordinary Shares Beneficially Owned</w:t>
            </w:r>
            <w:r>
              <w:rPr>
                <w:b/>
                <w:position w:val="8"/>
                <w:sz w:val="19"/>
              </w:rPr>
              <w:t>(1)</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of</w:t>
              <w:br/>
              <w:t>Outstanding</w:t>
              <w:br/>
              <w:t>Ordinary</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Ordinary</w:t>
              <w:br/>
              <w:t>Shares Being</w:t>
              <w:br/>
              <w:t>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Ordinary Shares Beneficially Owned</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3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Percentage of</w:t>
              <w:br/>
              <w:t>Outstanding</w:t>
              <w:br/>
              <w:t>Ordinary Shares</w:t>
            </w:r>
          </w:p>
        </w:tc>
        <w:tc>
          <w:tcPr>
            <w:tcW w:w="82" w:type="dxa"/>
            <w:tcBorders/>
            <w:vAlign w:val="center"/>
          </w:tcPr>
          <w:p>
            <w:pPr>
              <w:pStyle w:val="TableContents"/>
              <w:bidi w:val="0"/>
              <w:spacing w:before="0" w:after="283"/>
              <w:jc w:val="left"/>
              <w:rPr/>
            </w:pPr>
            <w:r>
              <w:rPr/>
              <w:t> </w:t>
            </w:r>
          </w:p>
        </w:tc>
      </w:tr>
      <w:tr>
        <w:trPr/>
        <w:tc>
          <w:tcPr>
            <w:tcW w:w="1885" w:type="dxa"/>
            <w:tcBorders/>
            <w:shd w:fill="CCEEFF" w:val="clear"/>
            <w:vAlign w:val="center"/>
          </w:tcPr>
          <w:p>
            <w:pPr>
              <w:pStyle w:val="TableContents"/>
              <w:bidi w:val="0"/>
              <w:spacing w:before="0" w:after="283"/>
              <w:jc w:val="left"/>
              <w:rPr/>
            </w:pPr>
            <w:r>
              <w:rPr/>
              <w:t xml:space="preserve">Vulcan Worldwide Holdings Limited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727" w:type="dxa"/>
            <w:tcBorders/>
            <w:shd w:fill="CCEEFF" w:val="clear"/>
            <w:vAlign w:val="center"/>
          </w:tcPr>
          <w:p>
            <w:pPr>
              <w:pStyle w:val="TableContents"/>
              <w:bidi w:val="0"/>
              <w:spacing w:before="0" w:after="283"/>
              <w:jc w:val="right"/>
              <w:rPr/>
            </w:pPr>
            <w:r>
              <w:rPr/>
              <w:t>2,960,000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18.52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2,960,000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0</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0</w:t>
            </w:r>
          </w:p>
        </w:tc>
        <w:tc>
          <w:tcPr>
            <w:tcW w:w="82"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both"/>
              <w:rPr/>
            </w:pPr>
            <w:r>
              <w:rPr/>
              <w:t>This table is based upon information supplied by the selling shareholder, which information may not be accurate as of the date hereof. We have determined beneficial ownership in accordance with the rules of the SEC. Except as indicated by the footnotes below, we believe, based on the information furnished to us, that the selling shareholder named in the table above has sole voting and investment power with respect to all ordinary shares that it beneficially owns.</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283"/>
              <w:jc w:val="both"/>
              <w:rPr/>
            </w:pPr>
            <w:r>
              <w:rPr/>
              <w:t>Vulcan Worldwide Holdings Limited is incorporated in the British Virgin Islands. Xiaohang Zhang, the sole director and sole shareholder, has sole voting and investment power over the Ordinary Shares held by Vulcan Worldwide Holdings Limited.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these Ordinary Shares does not mean that the selling shareholder will sell or otherwise dispose of all or any of those securities. The selling shareholder may sell or otherwise dispose of all, a portion or none of such shares from time to time. We do not know the number of Ordinary Shares, if any, that will be offered for sale or other disposition by the selling shareholder under this prospectus. Furthermore, the selling shareholder may have sold, transferred or disposed of the Ordinary Shares covered hereby in transactions exempt from the registration requirements of the Securities Act since the date on which we filed this prospectus.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sales by the selling shareholder. We have agreed to bear expenses incurred by the selling shareholder that relate to the registration of the Ordinary Shares being offered and sold by the selling shareholder, including the SEC registration fee and legal, accounting, printing and other expenses of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3"/>
      <w:bookmarkEnd w:id="25"/>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recent Annual Report on Form 20-F provides a discussion of certain tax considerations that may be relevant to prospective investors in our securities. The applicable prospectus supplement may also contain information about certain material tax considerations relating to the securities covered by such prospectus supplement. You should consult your own tax advisors prior to acquiring any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4"/>
      <w:bookmarkEnd w:id="2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selling shareholder, as applicable, may sell the securities offered by this prospectus in any one or more of the following ways (or in any combination) from time to time:</w:t>
      </w:r>
    </w:p>
    <w:p>
      <w:pPr>
        <w:pStyle w:val="TextBody"/>
        <w:bidi w:val="0"/>
        <w:spacing w:before="0" w:after="0"/>
        <w:ind w:left="0" w:right="0" w:hanging="0"/>
        <w:jc w:val="both"/>
        <w:rPr>
          <w:caps w:val="false"/>
          <w:smallCaps w:val="false"/>
        </w:rPr>
      </w:pPr>
      <w:r>
        <w:rPr>
          <w:caps w:val="false"/>
          <w:smallCaps w:val="false"/>
        </w:rPr>
        <w:t> </w:t>
      </w:r>
    </w:p>
    <w:tbl>
      <w:tblPr>
        <w:tblW w:w="9783" w:type="dxa"/>
        <w:jc w:val="left"/>
        <w:tblInd w:w="0" w:type="dxa"/>
        <w:tblLayout w:type="fixed"/>
        <w:tblCellMar>
          <w:top w:w="0" w:type="dxa"/>
          <w:left w:w="0" w:type="dxa"/>
          <w:bottom w:w="0" w:type="dxa"/>
          <w:right w:w="0" w:type="dxa"/>
        </w:tblCellMar>
      </w:tblPr>
      <w:tblGrid>
        <w:gridCol w:w="38"/>
        <w:gridCol w:w="170"/>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sz w:val="20"/>
              </w:rPr>
            </w:pPr>
            <w:r>
              <w:rPr>
                <w:sz w:val="20"/>
              </w:rPr>
              <w:t>directly to investors, including through privately negotiated transactions, a specific bidding, auction or other process;</w:t>
            </w:r>
          </w:p>
        </w:tc>
      </w:tr>
    </w:tbl>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70"/>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00" w:type="dxa"/>
            <w:tcBorders/>
            <w:vAlign w:val="center"/>
          </w:tcPr>
          <w:p>
            <w:pPr>
              <w:pStyle w:val="TableContents"/>
              <w:bidi w:val="0"/>
              <w:spacing w:before="0" w:after="283"/>
              <w:jc w:val="both"/>
              <w:rPr>
                <w:sz w:val="20"/>
              </w:rPr>
            </w:pPr>
            <w:r>
              <w:rPr>
                <w:sz w:val="20"/>
              </w:rPr>
              <w:t>to investors 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sz w:val="20"/>
              </w:rPr>
            </w:pPr>
            <w:r>
              <w:rPr>
                <w:sz w:val="20"/>
              </w:rPr>
              <w:t>directly to agents;</w:t>
            </w:r>
          </w:p>
        </w:tc>
      </w:tr>
    </w:tbl>
    <w:p>
      <w:pPr>
        <w:pStyle w:val="TextBody"/>
        <w:bidi w:val="0"/>
        <w:spacing w:before="0" w:after="0"/>
        <w:ind w:left="0" w:right="0" w:hanging="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17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sz w:val="20"/>
              </w:rPr>
            </w:pPr>
            <w:r>
              <w:rPr>
                <w:sz w:val="20"/>
              </w:rPr>
              <w:t>to or through underwriters or dealers;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in “at the market” offerings, within the meaning of the Rule 415(a)(4) of the Securities Act, to or through a market maker or into an existing trading market on an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sz w:val="20"/>
              </w:rPr>
            </w:pPr>
            <w:r>
              <w:rPr>
                <w:sz w:val="20"/>
              </w:rPr>
              <w:t>through a combination of any such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17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both"/>
              <w:rPr>
                <w:sz w:val="20"/>
              </w:rPr>
            </w:pPr>
            <w:r>
              <w:rPr>
                <w:sz w:val="20"/>
              </w:rPr>
              <w:t>through any other method permitted by applicable law and described in the applicable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prospectus supplement will set forth the terms of the offering and the method of distribution and will identify any firms acting as underwriters, dealers or agents in connection with the offering, including:</w:t>
      </w:r>
    </w:p>
    <w:p>
      <w:pPr>
        <w:pStyle w:val="TextBody"/>
        <w:bidi w:val="0"/>
        <w:spacing w:before="0" w:after="0"/>
        <w:ind w:left="0" w:right="0" w:hanging="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sz w:val="20"/>
              </w:rPr>
            </w:pPr>
            <w:r>
              <w:rPr>
                <w:sz w:val="20"/>
              </w:rPr>
              <w:t>the names and addresses of any underwriters, dealers or agents;</w:t>
            </w:r>
          </w:p>
        </w:tc>
      </w:tr>
    </w:tbl>
    <w:p>
      <w:pPr>
        <w:pStyle w:val="TextBody"/>
        <w:bidi w:val="0"/>
        <w:spacing w:before="0" w:after="0"/>
        <w:ind w:left="0" w:right="0" w:hanging="0"/>
        <w:jc w:val="left"/>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170"/>
        <w:gridCol w:w="63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sz w:val="20"/>
              </w:rPr>
            </w:pPr>
            <w:r>
              <w:rPr>
                <w:sz w:val="20"/>
              </w:rPr>
              <w:t>the purchase price of the securities and the proceeds to us from the sale, if any;</w:t>
            </w:r>
          </w:p>
        </w:tc>
      </w:tr>
    </w:tbl>
    <w:p>
      <w:pPr>
        <w:pStyle w:val="TextBody"/>
        <w:bidi w:val="0"/>
        <w:spacing w:before="0" w:after="0"/>
        <w:ind w:left="0" w:right="0" w:hanging="0"/>
        <w:jc w:val="left"/>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any over-allotment options under which underwriters may purchase additional securities from us;</w:t>
            </w:r>
          </w:p>
        </w:tc>
      </w:tr>
    </w:tbl>
    <w:p>
      <w:pPr>
        <w:pStyle w:val="TextBody"/>
        <w:bidi w:val="0"/>
        <w:spacing w:before="0" w:after="0"/>
        <w:ind w:left="0" w:right="0" w:hanging="0"/>
        <w:jc w:val="left"/>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sz w:val="20"/>
              </w:rPr>
            </w:pPr>
            <w:r>
              <w:rPr>
                <w:sz w:val="20"/>
              </w:rPr>
              <w:t>any underwriting discounts and other items constituting compensation to underwriters, dealers or agents;</w:t>
            </w:r>
          </w:p>
        </w:tc>
      </w:tr>
    </w:tbl>
    <w:p>
      <w:pPr>
        <w:pStyle w:val="TextBody"/>
        <w:bidi w:val="0"/>
        <w:spacing w:before="0" w:after="0"/>
        <w:ind w:left="0" w:right="0" w:hanging="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sz w:val="20"/>
              </w:rPr>
            </w:pPr>
            <w:r>
              <w:rPr>
                <w:sz w:val="20"/>
              </w:rPr>
              <w:t>any public offering price, any discounts or concessions allowed or reallowed or paid to dealers; and</w:t>
            </w:r>
          </w:p>
        </w:tc>
      </w:tr>
    </w:tbl>
    <w:p>
      <w:pPr>
        <w:pStyle w:val="TextBody"/>
        <w:bidi w:val="0"/>
        <w:spacing w:before="0" w:after="0"/>
        <w:ind w:left="0" w:right="0" w:hanging="0"/>
        <w:jc w:val="left"/>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sz w:val="20"/>
              </w:rPr>
            </w:pPr>
            <w:r>
              <w:rPr>
                <w:sz w:val="20"/>
              </w:rPr>
              <w:t>any securities exchange or market on which the securities offered in the prospectus supplement may be listed.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 underwriters will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the obligations of the underwriters to purchase any series of securities will be subject to certain conditions precedent and the underwriters will be obligated to purchase all of such series of securities if any are purchased. Only those underwriters identified in such prospectus supplement are deemed to be underwriters in connection with the securities offered in the prospectus supplement. Any underwritten offering may be on a best efforts or a firm commitment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securities, underwriters or agents may receive compensation (in the form of discounts, concessions or commissions) from us, the selling shareholder or from purchasers of securities for whom they may act as agents.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as that term is defined in the Securities Act, and any discounts allowed or commissions paid, and any profit on the resale of the securities they realize may be deemed to be underwriting discounts and commissions under the Securities Act. Any person who may be deemed to be an underwriter will be identified, and the compensation received from us will be described, in the prospectus supplement. Maximum compensation to any underwriters, dealers or agents will not exceed any applicable Financial Industry Regulatory Authority, Inc. (“FINRA”)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entitled to indemnification by us or the selling shareholder against some civil liabilities, including liabilities under the Securities Act, or to contributions with respect to payments which the underwriters or agents may be required to make relating to these liabilities. Underwriters and agents may be customers of, engage in transactions with, or perform services for us or the selling shareholder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related prospectus supplement, each series of securities will be a new issue with no established trading market, other than our Ordinary Shares, which are listed on the Nasdaq Capital Market. Any Ordinary Shares sold pursuant to a prospectus supplement will be listed on the Nasdaq Capital Market, subject to official notice of issuance. We may elect to list any preferred shares, warrants, debt securities, rights, or units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us or the selling shareholder from the sale of the securities will be the purchase price of our securities less discounts or commissions, if any. We and the selling shareholder reserve the right to accept and, together with our agents from time to time, to reject, in whole or in part, any proposed purchase of our securities to be made directly or through agents. We will not receive any of the proceeds from any offering by the selling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offering of the securities offered by us or the selling shareholder, certain persons participating in the offering may engage in transactions that stabilize, maintain or otherwise affect the price of our securities. This may include over-allotments or short sales, which involve the sale by persons participating in the offering of more shares than were sold to them. In these circumstances, these persons would cover such over-allotments or short positions by making purchases in the open market or by exercising their over-allotment option, if any. In addition, these persons may stabilize or maintain the price of our securities by bidding for or purchasing shares in the open market or by imposing penalty bids, whereby selling concessions allowed to dealers participating in the offering may be reclaimed if shares sold by them are repurchased in connection with stabilization transactions. The effect of these transactions may be to stabilize or maintain the market price of our securities at a level above that which might otherwise prevail in the open market. These transactions may be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may, from time to time, pledge or grant a security interest in some of the Ordinary Shares owned by them and, if the selling shareholder defaults in the performance of their secured obligations, the pledgees or secured parties may offer and sell the Ordinary Shares, from time to time, under this prospectus, or under an amendment or supplement to this prospectus amending the list of the selling shareholder to include the pledgee, transferee or other successors in interest as the selling shareholder under this prospectus. The selling shareholder also may transfer the Ordinary Shares in other circumstances, in which case the transferees,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may use this prospectus in connection with resales of the Ordinary Shares. The selling shareholder may be deemed to be an underwriter under the Securities Act in connection with the Ordinary Shares they resell and any profits on the sales may be deemed to be underwriting discounts and commissions under the Securities Act. Unless otherwise set forth in a prospectus supplement, the selling shareholder will receive all the net proceeds from the resale of the Ordinary Shares sold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selling shareholder also may in the future resell a portion of the Ordinary Shares in open market transactions in reliance upon Rule 144 under the Securities Act, provided that they meet the criteria and conform to the requirements of that rule, or pursuant to other available exemptions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5"/>
      <w:bookmarkEnd w:id="27"/>
      <w:r>
        <w:rPr>
          <w:rFonts w:ascii="Times New Roman;Times;Serif" w:hAnsi="Times New Roman;Times;Serif"/>
          <w:b/>
          <w:i w:val="false"/>
          <w:caps w:val="false"/>
          <w:smallCaps w:val="false"/>
          <w:sz w:val="20"/>
        </w:rPr>
        <w:t>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in connection with the sale and distribution of the securities being registered. We will bear all of the expenses shown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3155"/>
        <w:gridCol w:w="60"/>
        <w:gridCol w:w="140"/>
        <w:gridCol w:w="980"/>
        <w:gridCol w:w="75"/>
      </w:tblGrid>
      <w:tr>
        <w:trPr/>
        <w:tc>
          <w:tcPr>
            <w:tcW w:w="315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31,873.03</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Printing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pPr>
            <w:r>
              <w:rPr/>
              <w:t>Transfer agent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The amount of securities and number of offerings are indeterminable, and the expenses cannot be estimated at this time. The applicable prospectus supplement will set forth the estimated aggregate amount of expenses payable in respect of any offering of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6"/>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the applicable prospectus supplement, certain legal matters in connection with the securities offered pursuant to this prospectus will be passed upon for us by Conyers Dill &amp; Pearman to the extent governed by the laws of the Cayman Islands, and by Bevilacqua PLLC to the extent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7"/>
      <w:bookmarkEnd w:id="29"/>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as of March 31, 2024, 2023 and 2022, and for the years then ended incorporated in this prospectus by reference to the Annual Report on Form 20-F for the year ended March 31, 2024 have been so incorporated in reliance on the report of WWC, P.C.,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offices of WWC, P.C. are located at 2010 Pioneer Court, San Mateo, CA 94403.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8"/>
      <w:bookmarkEnd w:id="30"/>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Insofar as indemnification by us for liabilities arising under the Securities Act may be permitted to our directors, officers or persons controlling the company pursuant to provisions of our constitution, or otherwise, we have been advised that in the opinion of the SEC, such indemnification is against public policy as expressed in the Securities Act and is therefore unenforceable. In the event that a claim for indemnification by such director, officer or controlling person of us in the successful defense of any action, suit or proceeding is asserted by such director, officer or controlling person in connection with the securities being offered,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9"/>
      <w:bookmarkEnd w:id="31"/>
      <w:r>
        <w:rPr>
          <w:rFonts w:ascii="Times New Roman;Times;Serif" w:hAnsi="Times New Roman;Times;Serif"/>
          <w:b/>
          <w:i w:val="false"/>
          <w:caps w:val="false"/>
          <w:smallCaps w:val="false"/>
          <w:sz w:val="20"/>
        </w:rPr>
        <w:t>ENFORCEMENT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Cayman Islands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is incorporated under the laws of the Cayman Islands as an exempted company with limited liability. It is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may not have standing to sue before the federal courts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Solowin’s constitutional documents do not contain provisions requiring that disputes, including those arising under the securities laws of the United States, between the company, its officers, directors and shareholders, be subject to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are located outside the United States. In addition, all of our directors and executive officers are nationals or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judgments obtained in U.S. courts against us or them,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the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the Cayman Islands would (i) recognize or enforce judgments of U.S. courts obtained against us or the directors or officers that are predicated upon the civil liability provisions of the securities laws of the United States or any state in the United States, or (ii) entertain original actions brought in the Cayman Islands against us or the directors or officers that are predicated upon the securities laws of the United States or any state in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w:t>
      </w:r>
      <w:r>
        <w:rPr>
          <w:rFonts w:ascii="Times New Roman;Times;Serif" w:hAnsi="Times New Roman;Times;Serif"/>
          <w:b w:val="false"/>
          <w:i/>
          <w:caps w:val="false"/>
          <w:smallCaps w:val="false"/>
          <w:sz w:val="20"/>
        </w:rPr>
        <w:t xml:space="preserve">in personam </w:t>
      </w:r>
      <w:r>
        <w:rPr>
          <w:rFonts w:ascii="Times New Roman;Times;Serif" w:hAnsi="Times New Roman;Times;Serif"/>
          <w:b w:val="false"/>
          <w:i w:val="false"/>
          <w:caps w:val="false"/>
          <w:smallCaps w:val="false"/>
          <w:sz w:val="20"/>
        </w:rPr>
        <w:t xml:space="preserve">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officers are nationals or residents of Hong Kong and all or a substantial portion of their assets are located outside the U.S. As a result, it may be difficult for investors to effect service of process within the U.S. upon us or these persons, or to enforce against us or them judgments obtained in U.S. courts, including judgments predicated upon the civil liability provisions of the U.S. federal securities laws or securities laws of any U.S. state.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Hong Kong would recognize or enforce judgments of U.S. courts obtained against us or our directors or officers predicated upon the civil liability provisions of the securities laws of the United States or any state in the United States, but Hong Kong courts do not entertain original actions brought in Hong Kong against us or our directors or officers predicated upon the securities laws of the United States or any state in the United States.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monetary sum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has no arrangement for the reciprocal enforcement of judgments with the United States. As a result, there is uncertainty as to the enforceability in Hong Kong in actions for enforcement of judgments of U.S. courts of civil liabilities predicated solely upon the federal securities laws of the United States or the securities laws of any state or territory within the United States, whereas original actions predicated solely upon the federal securities laws of the United States or the securities laws of any state or territory within the United States would not be entertained by Hong Kong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agent for service of process in the United States is Cogency Global Inc.,122 East 42nd Street, 18th Floor, New York, NY 10168, (800) 221-0102.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a_020"/>
      <w:bookmarkEnd w:id="32"/>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in this prospectus, there have been no reportable material changes that have occurred since March 31, 2024, and that have not been described in a report on Form 6-K furnished under the Exchange Act and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21"/>
      <w:bookmarkEnd w:id="3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 registering the securities that may be offered and sold hereunder.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are required to file reports and other information with the SEC pursuant to the Exchange Act, including annual reports on Form 20-F and reports on Form 6-K.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that contains reports and other information regarding issuers, like us, that file electronically with the SEC. The address of the website is www.sec.gov. The information on our website (https://www.solomonwin.com.hk), other than our SEC filings, is not, and should not be, considered part of this prospectus and is not incorporated by reference into this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22"/>
      <w:bookmarkEnd w:id="34"/>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into this prospectus. This means that we can disclose important information about us and our financial condition to you by referring you to another document filed separately with the SEC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into this prospectus the information contained in the documents listed below and any future filings made by us with the SEC under Section 13(a), 13(c) or 15(d) of the Exchange Act, except for information “furnished” to the SEC which is not deemed filed and not incorporated by reference into this prospectus (unless otherwise indicated below), until the termination of the offering of securities described in the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Company’s Annual Report on </w:t>
            </w:r>
            <w:hyperlink r:id="rId15">
              <w:r>
                <w:rPr>
                  <w:rStyle w:val="InternetLink"/>
                </w:rPr>
                <w:t>Form 20-F</w:t>
              </w:r>
            </w:hyperlink>
            <w:r>
              <w:rPr/>
              <w:t xml:space="preserve"> for the fiscal year ended March 31, 2024, filed with the SEC on July 26, 2024; and</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description of the Company’s Ordinary Shares contained in the Company’s Registration Statement on </w:t>
            </w:r>
            <w:hyperlink r:id="rId16">
              <w:r>
                <w:rPr>
                  <w:rStyle w:val="InternetLink"/>
                </w:rPr>
                <w:t>Form 8-A</w:t>
              </w:r>
            </w:hyperlink>
            <w:r>
              <w:rPr/>
              <w:t xml:space="preserve"> (File No. 001-41776) filed with the SEC on August 9, 2023, pursuant to Section 12(b) of the Exchange Act, including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annual reports on Form 20-F we file with the SEC under the Exchange Act after the date of this prospectus and prior to the termination of the offering of securities by means of this prospectus, and any future reports of foreign private issuer on Form 6-K we furnish with the SEC during such period that are identified in such reports as being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reports filed by us with the SEC after the date of this prospectus and before the date that the offering of securities by means of this prospectus is terminated will automatically update and, where applicable, supersede any information contained in this prospectus or incorporated by reference in this prospectus. This means that you must look at all of the SEC filings that we incorporate by reference to determine if any of the statements in this prospectus or in any documents incorporated by reference have been modified or superseded. Unless expressly incorporated by reference, nothing in this prospectus shall be deemed to incorporate by reference information furnished to, but not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any person (including any beneficial owner) to whom this prospectus is delivered, upon oral or written request, a copy of any document incorporated by reference in this prospectus but not delivered with the prospectus (except for exhibits to those documents unless a document states that one of its exhibits is incorporated into the document itself). Such request should be directed to: SOLOWIN HOLDINGS, Room 1910-1912A, Tower 3, China Hong Kong City, 33 Canton Road, Tsim Sha Tsui, Kowloon, Hong Kong, and telephone number +852 3428-3893.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00175" cy="1047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7"/>
                    <a:stretch>
                      <a:fillRect/>
                    </a:stretch>
                  </pic:blipFill>
                  <pic:spPr bwMode="auto">
                    <a:xfrm>
                      <a:off x="0" y="0"/>
                      <a:ext cx="1400175" cy="10477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2,960,000 Ordinary Shares Offered by the Selling Shareholder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8,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59224/000121390026084178/ea029840901ex2-1.htm" TargetMode="External"/><Relationship Id="rId4" Type="http://schemas.openxmlformats.org/officeDocument/2006/relationships/hyperlink" Target="https://www.sec.gov/ix?doc=/Archives/edgar/data/0001959224/000121390026084178/ea0298409-20f_solowin.htm" TargetMode="External"/><Relationship Id="rId5" Type="http://schemas.openxmlformats.org/officeDocument/2006/relationships/hyperlink" Target="https://www.sec.gov/ix?doc=/Archives/edgar/data/0001959224/000121390026084178/ea0298409-20f_solowin.htm" TargetMode="External"/><Relationship Id="rId6" Type="http://schemas.openxmlformats.org/officeDocument/2006/relationships/hyperlink" Target="https://www.sec.gov/Archives/edgar/data/1959224/000121390026042484/ea0285953-6k_solowin.htm" TargetMode="External"/><Relationship Id="rId7" Type="http://schemas.openxmlformats.org/officeDocument/2006/relationships/hyperlink" Target="https://www.sec.gov/Archives/edgar/data/1959224/000121390026046244/ea0287219-6k_solowin.htm" TargetMode="External"/><Relationship Id="rId8" Type="http://schemas.openxmlformats.org/officeDocument/2006/relationships/hyperlink" Target="https://www.sec.gov/Archives/edgar/data/1959224/000121390026064255/ea0293308-6k_solowin.htm" TargetMode="External"/><Relationship Id="rId9" Type="http://schemas.openxmlformats.org/officeDocument/2006/relationships/hyperlink" Target="https://www.sec.gov/Archives/edgar/data/1959224/000121390026092641/ea0303037-6k_solowin.htm" TargetMode="External"/><Relationship Id="rId10" Type="http://schemas.openxmlformats.org/officeDocument/2006/relationships/hyperlink" Target="https://www.sec.gov/Archives/edgar/data/1959224/000121390026101769/ea0306103-6k_solowin.htm" TargetMode="External"/><Relationship Id="rId11" Type="http://schemas.openxmlformats.org/officeDocument/2006/relationships/hyperlink" Target="https://www.sec.gov/Archives/edgar/data/1959224/000121390026084178/ea029840901ex2-1.htm" TargetMode="External"/><Relationship Id="rId12" Type="http://schemas.openxmlformats.org/officeDocument/2006/relationships/hyperlink" Target="https://www.sec.gov/ix?doc=/Archives/edgar/data/0001959224/000121390026084178/ea0298409-20f_solowin.htm" TargetMode="External"/><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hyperlink" Target="https://www.sec.gov/ix?doc=/Archives/edgar/data/1959224/000101376224001683/ea0209715-20f_solowin.htm" TargetMode="External"/><Relationship Id="rId16" Type="http://schemas.openxmlformats.org/officeDocument/2006/relationships/hyperlink" Target="http://www.sec.gov/Archives/edgar/data/1959224/000121390023064664/ea183101-8a12b_solowin.htm" TargetMode="External"/><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59147</Words>
  <Characters>317720</Characters>
  <CharactersWithSpaces>376967</CharactersWithSpaces>
  <Paragraphs>2590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