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964-6k_solowin.htm"/>
      <w:bookmarkStart w:id="1" w:name="ksea03069646k_solowi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w:t>
      </w:r>
      <w:r>
        <w:rPr>
          <w:rFonts w:ascii="Times New Roman;Times;Serif" w:hAnsi="Times New Roman;Times;Serif"/>
          <w:b/>
          <w:i w:val="false"/>
          <w:caps w:val="false"/>
          <w:smallCaps w:val="false"/>
          <w:sz w:val="20"/>
        </w:rPr>
        <w:t>001-41776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1910-1912A, Tower 3, China Hong Kong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Canton Road, Tsim Sha Tsui,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2026, Solowin Holdings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 exempted company incorporated in the Cayman Islands, entered into an at-the-market sales agreement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with Chaince Securities, LLC, as sales agent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pursuant to which the Company may offer and sell, from time to time through the Agent, Class A ordinary shares, par value $0.0001 per share, of the Company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the Class A Ordinary Shares to be sold pursuant to the Sales Agreement,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offer and sale of the Shares, if any, will be made pursuant to the Company’s shelf registration statement on Form F-3 (File No. 333-282552), including the base prospectus contained therein, which was initially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November 8, 2024, and was declared effective, as amended, by the Commission on November 8, 2024, and as supplemented by the prospectus supplement, dated October 22, 2026, filed with the Commission pursuant to Rule 424(b)(5)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Shares which may be issued from time to time pursuant to the Sales Agreement,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Pursuant to the Prospectus Supplement, the Company may offer and sell up to $50,000,000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Sales Agreement, subject to the terms of the placement notice defined in the Sales Agreement, the Agent may sell Placement Shares by any method permitted by law deemed to be an “at-the-market offering” as defined in Rule 415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make any sales of Shares under the Sales Agreement and no assurance can be given that it will sell any Shares under the Sales Agreement, or, if it does, as to the price or number of Shares that it will sell, or the dates on which any such sales will take place. The aggregate compensation payable to the Agent as sales agent shall be (i) a cash fee equal to 3.0% of the aggregate gross proceeds and (ii) non-accountable expense allowance equal to 1.0% of the aggregate gross proceeds from each closing of Placement Shares sold pursuant to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agreed in the Sales Agreement to provide indemnification and contribution to the Agent against certain liabilities, including liabilities under the Securities Act. The Sales Agreement also contains customary representations and warranties and conditions to the sale of the Shares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not a complete description of the Sales Agreement and is qualified by reference to the full text and terms of the Sales Agreement, which is filed as Exhibit 10.1 to this current report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plans to use the net proceeds from this offering primarily for working capital and general corporate purposes, stablecoin-related initiatives and payment infrastructure development, and, to the extent sufficient proceeds are available, for artificial intelligence and high-performance computing data center development, personnel and marketing expenses and potential strategic acquisitions. Because there is no minimum offering amount required as a condition of this offering, the actual total public offering amount, commissions and proceeds to us, if any, are not determinable at this time. There can be no assurance that we will sell any shares under or fully utilize the Sales Agreement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 closed the transactions contemplated by two securities purchase agreements, in the same form, (the “</w:t>
      </w:r>
      <w:r>
        <w:rPr>
          <w:rFonts w:ascii="Times New Roman;Times;Serif" w:hAnsi="Times New Roman;Times;Serif"/>
          <w:b/>
          <w:i w:val="false"/>
          <w:caps w:val="false"/>
          <w:smallCaps w:val="false"/>
          <w:sz w:val="20"/>
        </w:rPr>
        <w:t>Purchase Agreements</w:t>
      </w:r>
      <w:r>
        <w:rPr>
          <w:rFonts w:ascii="Times New Roman;Times;Serif" w:hAnsi="Times New Roman;Times;Serif"/>
          <w:b w:val="false"/>
          <w:i w:val="false"/>
          <w:caps w:val="false"/>
          <w:smallCaps w:val="false"/>
          <w:sz w:val="20"/>
        </w:rPr>
        <w:t>”), dated as of September 10, 2026, with two institutional investors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Agreements, the Company issued and delivered to each Investor a promissory note in the principal amount of $ 425,000.00, inclusive of $30,000 original issuance discount. The Company also issued an aggregate of 100,000 Class A Ordinary Shares, to the Investors, respectively, as commitment shares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as additional consideration in connection with the issuance of the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Agreements and the Notes do not purport to be complete and are qualified in their entirety by reference to the full text of the forms of the Purchase Agreements and the Notes, which are filed as exhibits to this Current Report on Form 6-K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information contained in this report on Form 6-K is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333-282552) and the Company’s registration statement on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333-275337) and shall be a part thereof from the date on which this report is furnished, to the extent not superseded by documents or reports subsequently filed or furnished. This report on Form 6-K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925"/>
        <w:gridCol w:w="590"/>
        <w:gridCol w:w="2000"/>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22, 2026</w:t>
            </w:r>
          </w:p>
        </w:tc>
        <w:tc>
          <w:tcPr>
            <w:tcW w:w="25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SOLOWIN HOLDINGS</w:t>
            </w:r>
          </w:p>
        </w:tc>
      </w:tr>
      <w:tr>
        <w:trPr/>
        <w:tc>
          <w:tcPr>
            <w:tcW w:w="192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Ling Ngai Lok</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r>
      <w:tr>
        <w:trPr/>
        <w:tc>
          <w:tcPr>
            <w:tcW w:w="19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9"/>
        <w:gridCol w:w="60"/>
        <w:gridCol w:w="9166"/>
      </w:tblGrid>
      <w:tr>
        <w:trPr/>
        <w:tc>
          <w:tcPr>
            <w:tcW w:w="97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6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97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6" w:type="dxa"/>
            <w:tcBorders/>
            <w:shd w:fill="CCEEFF" w:val="clear"/>
            <w:tcMar>
              <w:bottom w:w="0" w:type="dxa"/>
            </w:tcMar>
            <w:vAlign w:val="center"/>
          </w:tcPr>
          <w:p>
            <w:pPr>
              <w:pStyle w:val="TableContents"/>
              <w:bidi w:val="0"/>
              <w:spacing w:before="0" w:after="283"/>
              <w:jc w:val="both"/>
              <w:rPr/>
            </w:pPr>
            <w:hyperlink w:anchor="ea030696401ex4-1.htm">
              <w:r>
                <w:rPr>
                  <w:rStyle w:val="InternetLink"/>
                  <w:rFonts w:ascii="Times New Roman;Times;Serif" w:hAnsi="Times New Roman;Times;Serif"/>
                  <w:sz w:val="20"/>
                </w:rPr>
                <w:t>Form of the convertible note issued on September 10, 2026</w:t>
              </w:r>
            </w:hyperlink>
            <w:r>
              <w:rPr>
                <w:rFonts w:ascii="Times New Roman;Times;Serif" w:hAnsi="Times New Roman;Times;Serif"/>
                <w:sz w:val="20"/>
              </w:rPr>
              <w:t xml:space="preserve"> </w:t>
            </w:r>
          </w:p>
        </w:tc>
      </w:tr>
      <w:tr>
        <w:trPr/>
        <w:tc>
          <w:tcPr>
            <w:tcW w:w="97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6" w:type="dxa"/>
            <w:tcBorders/>
            <w:shd w:fill="FFFFFF" w:val="clear"/>
            <w:tcMar>
              <w:bottom w:w="0" w:type="dxa"/>
            </w:tcMar>
            <w:vAlign w:val="center"/>
          </w:tcPr>
          <w:p>
            <w:pPr>
              <w:pStyle w:val="TableContents"/>
              <w:bidi w:val="0"/>
              <w:spacing w:before="0" w:after="283"/>
              <w:jc w:val="both"/>
              <w:rPr/>
            </w:pPr>
            <w:hyperlink w:anchor="ea030696401ex5-1.htm">
              <w:r>
                <w:rPr>
                  <w:rStyle w:val="InternetLink"/>
                  <w:rFonts w:ascii="Times New Roman;Times;Serif" w:hAnsi="Times New Roman;Times;Serif"/>
                  <w:sz w:val="20"/>
                </w:rPr>
                <w:t>Opinion of Conyers Dill &amp; Pearman</w:t>
              </w:r>
            </w:hyperlink>
          </w:p>
        </w:tc>
      </w:tr>
      <w:tr>
        <w:trPr/>
        <w:tc>
          <w:tcPr>
            <w:tcW w:w="97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6" w:type="dxa"/>
            <w:tcBorders/>
            <w:shd w:fill="CCEEFF" w:val="clear"/>
            <w:tcMar>
              <w:bottom w:w="0" w:type="dxa"/>
            </w:tcMar>
            <w:vAlign w:val="center"/>
          </w:tcPr>
          <w:p>
            <w:pPr>
              <w:pStyle w:val="TableContents"/>
              <w:bidi w:val="0"/>
              <w:spacing w:before="0" w:after="283"/>
              <w:jc w:val="both"/>
              <w:rPr/>
            </w:pPr>
            <w:hyperlink w:anchor="ea030696401ex10-1.htm">
              <w:r>
                <w:rPr>
                  <w:rStyle w:val="InternetLink"/>
                  <w:rFonts w:ascii="Times New Roman;Times;Serif" w:hAnsi="Times New Roman;Times;Serif"/>
                  <w:sz w:val="20"/>
                </w:rPr>
                <w:t>Sales Agreement, dated October 22, 2026, by and between the Company and Chaince Securities, LLC</w:t>
              </w:r>
            </w:hyperlink>
          </w:p>
        </w:tc>
      </w:tr>
      <w:tr>
        <w:trPr/>
        <w:tc>
          <w:tcPr>
            <w:tcW w:w="97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6" w:type="dxa"/>
            <w:tcBorders/>
            <w:shd w:fill="FFFFFF" w:val="clear"/>
            <w:tcMar>
              <w:bottom w:w="0" w:type="dxa"/>
            </w:tcMar>
            <w:vAlign w:val="center"/>
          </w:tcPr>
          <w:p>
            <w:pPr>
              <w:pStyle w:val="TableContents"/>
              <w:bidi w:val="0"/>
              <w:spacing w:before="0" w:after="283"/>
              <w:jc w:val="both"/>
              <w:rPr/>
            </w:pPr>
            <w:hyperlink w:anchor="ea030696401ex10-2.htm">
              <w:r>
                <w:rPr>
                  <w:rStyle w:val="InternetLink"/>
                  <w:rFonts w:ascii="Times New Roman;Times;Serif" w:hAnsi="Times New Roman;Times;Serif"/>
                  <w:sz w:val="20"/>
                </w:rPr>
                <w:t>Form of the securities purchase agreement, by and between the Company and the Investors, dated September 10, 2026</w:t>
              </w:r>
            </w:hyperlink>
          </w:p>
        </w:tc>
      </w:tr>
      <w:tr>
        <w:trPr/>
        <w:tc>
          <w:tcPr>
            <w:tcW w:w="97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6" w:type="dxa"/>
            <w:tcBorders/>
            <w:shd w:fill="CCEEFF" w:val="clear"/>
            <w:tcMar>
              <w:bottom w:w="0" w:type="dxa"/>
            </w:tcMar>
            <w:vAlign w:val="center"/>
          </w:tcPr>
          <w:p>
            <w:pPr>
              <w:pStyle w:val="TableContents"/>
              <w:bidi w:val="0"/>
              <w:spacing w:before="0" w:after="283"/>
              <w:jc w:val="both"/>
              <w:rPr/>
            </w:pPr>
            <w:hyperlink w:anchor="ea030696401ex5-1.htm">
              <w:r>
                <w:rPr>
                  <w:rStyle w:val="InternetLink"/>
                  <w:rFonts w:ascii="Times New Roman;Times;Serif" w:hAnsi="Times New Roman;Times;Serif"/>
                  <w:sz w:val="20"/>
                </w:rPr>
                <w:t>Consent of Conyers Dill &amp; Pearman (included in Exhibit 5.1)</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96401ex4-1.htm"/>
      <w:bookmarkStart w:id="3" w:name="ksea030696401ex41"/>
      <w:bookmarkEnd w:id="2"/>
      <w:bookmarkEnd w:id="3"/>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OR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3980"/>
        <w:gridCol w:w="2660"/>
      </w:tblGrid>
      <w:tr>
        <w:trPr/>
        <w:tc>
          <w:tcPr>
            <w:tcW w:w="3980" w:type="dxa"/>
            <w:tcBorders/>
            <w:vAlign w:val="center"/>
          </w:tcPr>
          <w:p>
            <w:pPr>
              <w:pStyle w:val="TableContents"/>
              <w:bidi w:val="0"/>
              <w:spacing w:before="0" w:after="283"/>
              <w:jc w:val="left"/>
              <w:rPr>
                <w:b/>
                <w:sz w:val="20"/>
              </w:rPr>
            </w:pPr>
            <w:r>
              <w:rPr>
                <w:b/>
                <w:sz w:val="20"/>
              </w:rPr>
              <w:t>Principal Amount: $425,000.00</w:t>
            </w:r>
          </w:p>
        </w:tc>
        <w:tc>
          <w:tcPr>
            <w:tcW w:w="2660" w:type="dxa"/>
            <w:tcBorders/>
            <w:vAlign w:val="center"/>
          </w:tcPr>
          <w:p>
            <w:pPr>
              <w:pStyle w:val="TableContents"/>
              <w:bidi w:val="0"/>
              <w:spacing w:before="0" w:after="283"/>
              <w:jc w:val="right"/>
              <w:rPr>
                <w:b/>
                <w:sz w:val="20"/>
              </w:rPr>
            </w:pPr>
            <w:r>
              <w:rPr>
                <w:b/>
                <w:sz w:val="20"/>
              </w:rPr>
              <w:t>Issue Date: September 10, 2026</w:t>
            </w:r>
          </w:p>
        </w:tc>
      </w:tr>
      <w:tr>
        <w:trPr/>
        <w:tc>
          <w:tcPr>
            <w:tcW w:w="3980" w:type="dxa"/>
            <w:tcBorders/>
            <w:vAlign w:val="center"/>
          </w:tcPr>
          <w:p>
            <w:pPr>
              <w:pStyle w:val="TableContents"/>
              <w:bidi w:val="0"/>
              <w:spacing w:before="0" w:after="283"/>
              <w:jc w:val="left"/>
              <w:rPr>
                <w:b/>
                <w:sz w:val="20"/>
              </w:rPr>
            </w:pPr>
            <w:r>
              <w:rPr>
                <w:b/>
                <w:sz w:val="20"/>
              </w:rPr>
              <w:t>Actual Amount of Purchase Price: $395,000.00</w:t>
            </w:r>
          </w:p>
        </w:tc>
        <w:tc>
          <w:tcPr>
            <w:tcW w:w="26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Solowin Holdings</w:t>
      </w:r>
      <w:r>
        <w:rPr>
          <w:rFonts w:ascii="Times New Roman;Times;Serif" w:hAnsi="Times New Roman;Times;Serif"/>
          <w:b w:val="false"/>
          <w:i w:val="false"/>
          <w:caps w:val="false"/>
          <w:smallCaps w:val="false"/>
          <w:sz w:val="20"/>
        </w:rPr>
        <w:t xml:space="preserve">, a Cayman Islands company (hereinafter called the “Borrower” or the “Company”), hereby promises to pay to the order of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registered assigns (the “Holder”), in the form of lawful money of the United States of America, the principal sum of $425,000.00 (the “Principal Amount”) (subject to adjustment herein), which includes the purchase price of $395,000.00 plus an original issue discount in the amount of $30,000.00 (the “OID”), and to pay a one-time interest charge on the Principal Amount hereof at the rate of eight percent (8%) (the “Interest Rate”) (which is equal to $34,000.00 and shall be guaranteed and earned in full as of the date hereof (the “Issue Date”)), when such amounts become due and payable, whether at maturity, upon acceleration, by prepayment, or otherwise, as further provided in this Note. The maturity date shall be twelve (12) months from the Issue Date (the “Maturity Date”), and is the date upon which the Principal Amount (which includes the OID) and any accrued and unpaid interest and other fees, shall be due and payable (in addition to all payment obligations under Section 4.16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prepaid or repaid in whole or in part except as otherwise explicitly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Principal Amount or interest on this Note which is not paid when due shall bear interest at the rate of the lesser of (i) eighteen percent (18%) per annum and (ii) the maximum amount permitted by law from the due date thereof until the same is paid (“Default Interest”). Interest and Default Interest shall be computed on the basis of a 365-day year and the actual number of days elapsed.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due hereunder (to the extent not converted into Class A ordinary shares, $0.0001 par value per share, of the Borrower (the “Common Stock”)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herein, and not otherwise defined, shall have the meaning ascribed thereto in that certain securities purchase agreement, dated as of the Issue Date, pursuant to which this Note was originally issued (the “Purchase Agreement”). As used in this Note, the term “business day” shall mean any day other than a Saturday, Sunday or a day on which commercial banks in the city of New York, New York are authorized or required by law or executive order to remain closed. As used herein, the term “Trading Day” means any day that shares of Common Stock are listed for trading or quotation on the Principal Market (as defined in the Purchase Agreement) (the “Principal Market”), provided, however, that if the Common Stock is not then listed on any Principal Market, then any calendar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also apply to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pPr>
      <w:r>
        <w:rPr/>
        <w:t xml:space="preserve">1.1 </w:t>
      </w:r>
      <w:r>
        <w:rPr>
          <w:u w:val="single"/>
        </w:rPr>
        <w:t>Conversion Right.</w:t>
      </w:r>
      <w:r>
        <w:rPr/>
        <w:t xml:space="preserve"> The Holder shall have the right, on any calendar day, at any time on or following the Issue Date, to convert all or any portion of the then outstanding and unpaid Principal Amount and interest (including any Default Interest)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determined as provided herein (a “Conversion”), by submitting to the Borrower or Borrower’s transfer agent a Notice of Conversion (as defined in this Note) by facsimile, e-mail or other reasonable means of communication dispatched on the Conversion Date (as defined in this Note) prior to 11:59 p.m., New York, New York time; </w:t>
      </w:r>
      <w:r>
        <w:rPr>
          <w:i/>
        </w:rPr>
        <w:t>provided, however</w:t>
      </w:r>
      <w:r>
        <w:rPr/>
        <w:t xml:space="preserve">, that notwithstanding anything to the contrary contained herein, the Holder shall not have the right to convert any portion of this Note, pursuant to Section 1 or otherwise, to the extent that after giving effect to such issuance after conversion as set forth on the applicable Notice of Conversion, the Holder (together with the Holder’s Affiliates (as defined in this Note), and any other Persons (as defined below)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Attribution Parties shall include the number of shares of Common Stock issuable upon conversion of this Note with respect to which such determination is being made, but shall exclude the number of shares of Common Stock which would be issuable upon (i) conversion of the remaining, nonconverted portion of this Note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1.1, beneficial ownership shall be calculated in accordance with Section 13(d) of the Securities Exchange Act of 1934, as amended (the “1934 Act”) and the rules and regulations promulgated thereunder, it being acknowledged by the Holder that the Holder is solely responsible for any schedules required to be filed in accordance therewith. In addition, a determination as to any group status as contemplated above shall be determined in accordance with Section 13(d) of the 1934 Act and the rules and regulations promulgated thereunder. For purposes of this Section 1.1,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Note, by the Holder or its Affiliates or Attribution Parties since the date as of which such number of outstanding shares of Common Stock was reported. The “Beneficial Ownership Limitation” shall be 4.99% of the number of shares of the Common Stock outstanding at the time of the respective calculation hereunder, provided, however, that the Holder may from time to time increase or decrease the Beneficial Ownership Limitation to any other percentage not in excess of 9.99% by delivering written notice of such to the Company, with such increase or decrease not effective until the sixty-first (61st) day after delivery of such written notice. “Person” and “Persons” means an individual, a limited liability company, a partnership, a joint venture, a corporation, a trust, an unincorporated organization, any other entity and any governmental entity or any department or agency thereof. “Affiliate” and “Affiliates” means any Person that, directly or indirectly through one or more intermediaries, controls or is controlled by or is under common control with a Person, as such terms are used in and construed under Rule 405 under the Securities Act of 1933, as amended. The limitations contained in this paragraph shall apply to a successor holder of this Note. The number of Conversion Shares (as defined in this Note) to be issued upon each conversion of this Note shall be determined by dividing the Conversion Amount (as defined below) by the applicable Conversion Price then in effect on the date specified in the notice of conversion, in the form attached hereto as </w:t>
      </w:r>
      <w:r>
        <w:rPr>
          <w:u w:val="single"/>
        </w:rPr>
        <w:t>Exhibit A</w:t>
      </w:r>
      <w:r>
        <w:rPr/>
        <w:t xml:space="preserve"> (the “Notice of Conversion”), delivered to the Borrower or Borrower’s transfer agent by the Holder in accordance with the terms of this Note; provided that the Notice of Conversion is submitted by facsimile or e-mail (or by other means resulting in, or reasonably expected to result in, notice) to the Borrower or Borrower’s transfer agent before 11:59 p.m., New York, New York time on such conversion date (the “Conversion Date”). The term “Conversion Shares” shall mean all of the Common Stock issuable upon conversion of this Note in the aggregate. The term “Conversion Amount” means, with respect to any conversion of this Note, the sum of (1) the Principal Amount of this Note to be converted in such conversion </w:t>
      </w:r>
      <w:r>
        <w:rPr>
          <w:u w:val="single"/>
        </w:rPr>
        <w:t>plus</w:t>
      </w:r>
      <w:r>
        <w:rPr/>
        <w:t xml:space="preserve"> (2) at the Holder’s option, accrued and unpaid interest, if any, on such Principal Amount at the Interest Rate to the Conversion Date, </w:t>
      </w:r>
      <w:r>
        <w:rPr>
          <w:u w:val="single"/>
        </w:rPr>
        <w:t>plus</w:t>
      </w:r>
      <w:r>
        <w:rPr/>
        <w:t xml:space="preserve"> (3) at the Holder’s option, Default Interest, if any, on the amounts referred to in the immediately preceding clauses (1) and/or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Calculation of Conversion Price.</w:t>
      </w:r>
      <w:r>
        <w:rPr>
          <w:rFonts w:ascii="Times New Roman;Times;Serif" w:hAnsi="Times New Roman;Times;Serif"/>
          <w:b w:val="false"/>
          <w:i w:val="false"/>
          <w:caps w:val="false"/>
          <w:smallCaps w:val="false"/>
          <w:sz w:val="20"/>
        </w:rPr>
        <w:t xml:space="preserve"> The per share conversion price into which Principal Amount and interest (including any Default Interest) under this Note shall be convertible into shares of Common Stock hereunder as further described in this Note (the “Conversion Price”) shall equal $1.00 (as adjusted for any stock dividend, stock split, stock combination, rights offerings, reclassification or similar transaction that proportionately decreases or increases the Common Stock). If at any time the Conversion Price as determined hereunder for any conversion would be less than the par value of the Common Stock, then at the sole discretion of the Holder, the Conversion Price hereunder may equal such par value for such conversion and the Conversion Amount for such conversion may be increased to include Additional Principal, where “Additional Principal” means such additional amount to be added to the Conversion Amount to the extent necessary to cause the number of conversion shares issuable upon such conversion to equal the same number of conversion shares as would have been issued had the Conversion Price not been adjusted by the Holder to the par value price. Holder shall be entitled to deduct $1,950.00 from the conversion amount in each Notice of Conversion to cover Holder’s fees associated with each Notice of Conversion. All such Conversion Price determinations are to be appropriately adjusted for any stock dividend, stock split, stock combination, rights offerings, reclassification or similar transaction that proportionately decreases or increases the Common Stock. If the Company, at any time while this Note is outstanding: (i) pays a stock dividend or otherwise makes a distribution or distributions payable in shares of Common Stock on shares of Common Stock or any Common Stock Equivalents,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Company, then the Conversion Price shall be multiplied by a fraction of which the numerator shall be the number of shares of Common Stock (excluding any treasury shares of the Company) outstanding immediately before such event, and of which the denominator shall be the number of shares of Common Stock outstanding immediately after such event. Any adjustment made pursuant to the immediately preceding sentence shall become effective immediately after the record date for the determination of shareholders entitled to receive such dividend or distribution and shall become effective immediately after the effective date in the case of a subdivision, combination or re-classification. “Common Stock Equivalents” means any securities of the Company or the Company’s Subsidiaries (as defined in the Purchase Agreement)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while this Note is outstanding, with the prior written consent of the Holder, reduce the then applicable Conversion Price to any amount and for any period of time deemed appropriate by the Board of Directors of the Company. For the avoidance of doubt, the Holder shall not be required to effectuate such conversion in the event of any reduction in Conversion Price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Authorized and Reserved Shares.</w:t>
      </w:r>
      <w:r>
        <w:rPr>
          <w:rFonts w:ascii="Times New Roman;Times;Serif" w:hAnsi="Times New Roman;Times;Serif"/>
          <w:b w:val="false"/>
          <w:i w:val="false"/>
          <w:caps w:val="false"/>
          <w:smallCaps w:val="false"/>
          <w:sz w:val="20"/>
        </w:rPr>
        <w:t xml:space="preserve"> The Borrower covenants that at all times beginning on the Issue Date and continuing until the Note is extinguished in the entirety, the Borrower will reserve from its authorized and unissued Common Stock a sufficient number of shares, free from preemptive rights, to provide for the issuance of a number of Conversion Shares equal to the greater of: (a) 1,589,180 shares of Common Stock or (b) the sum of (i) the number of Conversion Shares issuable upon the full conversion of this Note at a conversion price equal to the Conversion Price (assuming no payment of Principal Amount or interest)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five (5) (the “Reserved Amount”). The Borrower represents that upon issuance, the Conversion Shares will be duly and validly issued, fully paid and non-assessable. The Borrower (i) acknowledges that it has irrevocably instructed its transfer agent to issue certificates for the Conversion Shares or instructions to have the Conversion Shares issued as contemplated by Section 1.4(e) hereof, and (ii) agrees that its issuance of this Note shall constitute full authority to its officers and agents who are charged with the duty of executing stock certificates or cause the Company to electronically issue shares of Common Stock to execute and issue the necessary certificates for the Conversion Shares or cause the Conversion Shares to be issued as contemplated by Section 1.4(e) hereof in accordance with the terms and conditions of this Note. If, at any time after the Issue Date, the Borrower does not maintain the Reserved Amount, it will be considered an Event of Default (as defined in this Note) under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Method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be controlling and determinative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Borrower shall not be required to pay any tax which may be payable in respect of any transfer involved in the issue and delivery of shares of Common Stock or other securities or property on conversion of this Note in a name other than that of the Holder (or in street name), and the Borrower shall not be required to issue or deliver any such shares or other securities or property unless and until the person or persons (other than the Holder or the custodian in whose street name such shares are to be held for the Holder’s account) requesting the issuance thereof shall have paid to the Borrower the amount of any such tax or shall have established to the satisfaction of the Borrower that such tax has been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Upon receipt by the Borrower or Borrower’s transfer agent from the Holder of a facsimile transmission or e-mail (or other reasonable means of communication) of a Notice of Conversion meeting the requirements for conversion as provided in this Section 1.4, the Borrower shall issue and deliver or cause to be issued and delivered to or upon the order of the Holder certificates for the Conversion Shares (or cause the electronic delivery of the Conversion Shares as contemplated by Section 1.4(e) hereof) within one (1) Trading Day after such receipt (the “Deadline”) (and, solely in the case of conversion of the entire unpaid Principal Amount and interest (including any Default Interest) under this Note, surrender of this Note). If the Company shall fail for any reason or for no reason to issue to the Holder on or prior to the Deadline a certificate for the number of Conversion Shares or to which the Holder is entitled hereunder and register such Conversion Shares on the Company’s share register or to credit the Holder’s balance account with DTC (as defined below) for such number of Conversion Shares to which the Holder is entitled upon the Holder’s conversion of this Note (a “Conversion Failure”), then, in addition to all other remedies available to the Holder, (i) the Company shall pay in cash to the Holder on each day after the Deadline and during such Conversion Failure an amount equal to 2.0% of the product of (A) the sum of the number of Conversion Shares not issued to the Holder on or prior to the Deadline and to which the Holder is entitled and (B) the closing sale price of the Common Stock on the Trading Day immediately preceding the last possible date which the Company could have issued such Conversion Shares to the Holder without violating this Section 1.4(c); and (ii) the Holder, upon written notice to the Company, may void all or any portion of such Notice of Conversion; provided that the voiding of all or any portion of a Notice of Conversion shall not affect the Company’s obligations to make any payments which have accrued prior to the date of such notice. In addition to the foregoing, if on or prior to the Deadline the Company shall fail to issue and deliver a certificate to the Holder and register such Conversion Shares on the Company’s share register or credit the Holder’s balance account with DTC for the number of Conversion Shares to which the Holder is entitled upon the Holder’s exercise hereunder or pursuant to the Company’s obligation pursuant to clause (ii) below, and if on or after such Trading Day the Holder purchases (in an open market transaction or otherwise) shares of Common Stock to deliver in satisfaction of a sale by the Holder of shares of Common Stock issuable upon such exercise that the Holder anticipated receiving from the Company, then the Company shall, within two (2) Trading Days after the Holder’s request and in the Holder’s discretion, either (i) pay cash to the Holder in an amount equal to the Holder’s total purchase price (including brokerage commissions and other reasonable and customary out-of-pocket expenses, if any) for the shares of Common Stock so purchased (the “Buy-In Price”), at which point the Company’s obligation to deliver such certificate (and to issue such Conversion Shares) or credit such Holder’s balance account with DTC for such Conversion Shares shall terminate, or (ii) promptly honor its obligation to deliver to the Holder a certificate or certificates representing such Conversion Shares or credit such Holder’s balance account with DTC and pay cash to the Holder in an amount equal to the excess (if any) of the Buy-In Price over the product of (A) such number of shares of Common Stock, times (B) the closing sales price of the Common Stock on the date of exercise.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the Conversion Shares (or to electronically deliver such Conversion Shares) upon the conversion of this Note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At the time that the Holder submits the Notice of Conversion to the Borrower or Borrower’s transfer agent, the Holder shall be deemed to be the holder of record of the Conversion Shares issuable upon such conversion, the outstanding Principal Amount and the amount of accrued and unpaid interest (including any Default Interest) under this Note shall be reduced to reflect such conversion, and, unless the Borrower defaults on its obligations under this Article I,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the Borrower’s obligation to issue and deliver the certificates for the Conversion Shares (or cause the electronic delivery of the Conversion Shares as contemplated by Section 1.4(e) hereof)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sent to the Borrower or Borrower’s transfer agent before 11:59 p.m., New York,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Conversion Shares by Electronic Transfer</w:t>
      </w:r>
      <w:r>
        <w:rPr>
          <w:rFonts w:ascii="Times New Roman;Times;Serif" w:hAnsi="Times New Roman;Times;Serif"/>
          <w:b w:val="false"/>
          <w:i w:val="false"/>
          <w:caps w:val="false"/>
          <w:smallCaps w:val="false"/>
          <w:sz w:val="20"/>
        </w:rPr>
        <w:t>. In lieu of delivering physical certificates representing the Conversion Shares issuable upon conversion hereof, provided the Borrower is participating in the Depository Trust Company (“DTC”) Fast Automated Securities Transfer or Deposit/Withdrawal at Custodian programs, upon request of the Holder and its compliance with the provisions contained in Section 1.1 and in this Section 1.4, the Borrower shall use its best efforts to cause its transfer agent to electronically transmit the Conversion Shares issuable upon conversion hereof to the Holder by crediting the account of Holder’s Prime Broker with DTC through its Deposit Withdrawal Agent Commission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The Conversion Shares issuable upon conversion of this Note may not be sold or transferred unless (i) such shares are sold pursuant to an effective registration statement under the 1933 Act or (ii) the Borrower or its transfer agent shall have been furnished with an opinion of counsel of Borrower or Holder to the effect that the shares to be sold or transferred may be sold or transferred pursuant to an exemption from such registration or (iii) such shares are sold or transferred pursuant to Rule 144, Rule 144A, Regulation S, or other applicable exemption, or (iv) such shares are transferred to an “affiliate” (as defined in Rule 144) of the Borrower who agrees to sell or otherwise transfer the shares only in accordance with this Section 1.5 and who is an Accredited Investor (as defined in the Purchase Agreement). Except as otherwise provided in the Purchase Agreement (and subject to the removal provisions set forth below), until such time as the Conversion Shares have been registered under the 1933 Act or otherwise may be sold pursuant to Rule 144, Rule 144A, Regulation S, or other applicable exemption without any restriction as to the number of securities as of a particular date that can then be immediately sold, each certificate for the Conversion Shares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MAY BE THE LEGAL COUNSEL OPINION (AS DEFINED IN THE PURCHASE AGREEMENT)), IN A GENERALLY ACCEPTABLE FORM, THAT REGISTRATION IS NOT REQUIRED UNDER SAID ACT OR (II) UNLESS SOLD PURSUANT TO RULE 144, RULE 144A, REGULATION S UNDER SAID ACT, OR OTHER APPLICABLE EXEMPTION.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to the Holder a certificate for the applicable Conversion Shares without such legend upon which it is stamped or (as requested by the Holder) issue the applicable Conversion Shares by electronic delivery by crediting the account of such holder’s broker with DTC, if, unless otherwise required by applicable state securities laws: (a) such Conversion Shares are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Holder provides the Legal Counsel Opinion (as contemplated by and in accordance with Section 4(k) of the Purchase Agreement) to the effect that a public sale or transfer of such Conversion Shares may be made without registration under the 1933 Act, which opinion shall be accepted by the Company so that the sale or transfer is effected. The Company shall be responsible for the fees of its transfer agent and all DTC fees associated with any such issuance. The Holder agrees to sell all Conversion Shares, including those represented by a certificate(s) from which the legend has been removed, in compliance with applicable prospectus delivery requirements, if any. In the event that the Company does not accept the opinion of counsel provided by the Holder with respect to the transfer of Conversion Shares pursuant to an exemption from registration, such as Rule 144, Rule 144A, Regulation S, or other applicable exemption, at the Deadline, notwithstanding that the conditions of Rule 144, Rule 144A, Regulation S, or other applicable exemption, as applicable, have been met, it will be considered an Event of Default under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Effect of Certain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 of Merger, Consolidation, Etc</w:t>
      </w:r>
      <w:r>
        <w:rPr>
          <w:rFonts w:ascii="Times New Roman;Times;Serif" w:hAnsi="Times New Roman;Times;Serif"/>
          <w:b w:val="false"/>
          <w:i w:val="false"/>
          <w:caps w:val="false"/>
          <w:smallCaps w:val="false"/>
          <w:sz w:val="20"/>
        </w:rPr>
        <w:t>. The Borrower shall not effectuate any Fundamental Transaction (as defined in this Note) or enter into any transaction documents for the effectuation of any Fundamental Transaction unless Borrower first obtains written consent from the Holder. “Person” shall mean any individual, corporation, limited liability company, partnership, association, trust or other entity or organization. “Fundamental Transaction” means (A) that the Company shall, directly or indirectly, including through subsidiaries or otherwise, in one or more related transactions, (i) consolidate or merge with or into (whether or not the Company is the surviving corporation) another Person, or (ii) sell, assign, transfer, convey or otherwise dispose of all or substantially all of the properties or assets of the Company or any of its “significant subsidiaries” (as defined in Rule 1-02 of Regulation S-X) to one or more Persons, or (iii) make, or allow one or more Persons to make, or allow the Company to be subject to or have its Common Stock be subject to or party to one or more Persons making a purchase, tender, or exchange offer that is accepted by the holders of at least either (x) 50% of the outstanding shares of Common Stock, (y) 50% of the outstanding shares of Common Stock calculated as if any shares of Common Stock held by all Persons making or party to, or affiliated with any such Persons making or party to, such purchase, tender, or exchange offer were not outstanding; or (z) such number of shares of Common Stock such that all Persons making or party to, or affiliated with any Persons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Persons whereby all such Persons, individually or in the aggregate, acquire, either (x) at least 50% of the outstanding shares of Common Stock, (y) at least 50% of the outstanding shares of Common Stock calculated as if any shares of Common Stock held by all the Persons making or party to, or affiliated with any entity making or party to, such stock purchase agreement or other business combination were not outstanding; or (z) such number of shares of Common Stock such that the Persons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Person or Persons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Persons as of the Issue Date calculated as if any shares of Common Stock held by all such Persons were not outstanding, or (z) a percentage of the aggregate ordinary voting power represented by issued and outstanding shares of Common Stock or other equity securities of the Company sufficient to allow such Persons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In addition to all other rights under this Note, if, at any time when this Note is issued and outstanding,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effectuate any transaction described in this Section 1.6(b) unless Borrower first obtains written consent from the Holder and the resulting successor or acquiring entity (if not the Borrower) assumes by written instrument the obligations of this Note. The above provisions shall similarly apply to successive consolidations, mergers, sales, transfers or share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Adjustment Due to Distribution.</w:t>
      </w:r>
      <w:r>
        <w:rPr>
          <w:rFonts w:ascii="Times New Roman;Times;Serif" w:hAnsi="Times New Roman;Times;Serif"/>
          <w:b w:val="false"/>
          <w:i w:val="false"/>
          <w:caps w:val="false"/>
          <w:smallCaps w:val="false"/>
          <w:sz w:val="20"/>
        </w:rPr>
        <w:t xml:space="preserve"> If the Borrower shall declare or make any distribution of its assets (or rights to acquire its assets) to holders of Common Stock as a dividend, stock repurchase, by way of return of capital or otherwise (including any dividend or distribution to the Borrower’s shareholders in cash or shares (or rights to acquire shares) of capital stock of a subsidiary (i.e., a spin-off)) (a “Distribution”), then the Holder of this Note shall be entitled, upon any conversion of this Note after the date of record for determining shareholders entitled to such Distribution, to receive the amount of such assets which would have been payable to the Holder with respect to the shares of Common Stock issuable upon such conversion had such Holder been the holder of such shares of Common Stock on the record date for the determination of shareholders entitled to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xml:space="preserve"> If, at any time when all or any portion of this Note is issued and outstanding, the Borrower issues any convertible securities or rights to purchase stock, warrants, securities or other property (the “Purchase Rights”)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If the Borrower, at any time while this Note or any amounts due hereunder are outstanding, issues, sells or grants (or has issued, sold or granted as of the Issue Date, as the case may be) any option to purchase, or sells or grants any right to reprice, or otherwise disposes of, or issues (or has sold or issued, as the case may be, or announces any sale, grant or any option to purchase or other disposition), any Common Stock or other securities convertible into, exercisable for, or otherwise entitle any person or entity the right to acquire, shares of Common Stock (including, without limitation, upon conversion of this Note, and any convertible notes or warrants outstanding as of or following the Issue Date), in each or any case at an effective price per share that is lower than the then Conversion Price (such lower price, the “Base Conversion Price” and such issuances, collectively, a “Dilutive Issuance”) (it being agreed that if the holder of the Common Stock or other securities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the Conversion Price shall be reduced, at the option of the Holder, to a price equal to the Base Conversion Price. Such adjustment shall be made whenever such Common Stock or other securities are issued. By way of example, and for the avoidance of doubt, if the Company issues a convertible promissory note (including but not limited to a Variable Rate Transaction (as defined in the Purchase Agreement) (a “Variable Rate Transaction”)), and the holder of such convertible promissory note has the right to convert it into Common Stock at an effective price per share that is lower than the then Conversion Price (including but not limited to a conversion price with a discount that varies with the trading prices of or quotations for the Common Stock), then the Holder has the right to reduce the Conversion Price to such Base Conversion Price (including but not limited to a conversion price with a discount that varies with the trading prices of or quotations for the Common Stock) in perpetuity regardless of whether the holder of such convertible promissory note ever effectuated a conversion at the Base Conversion Price. The Holder shall be entitled to obtain injunctive relief against the Company to preclude any such issuance, which remedy shall be in addition to any right to collect damage. In the event of an issuance of securities involving multiple tranches or closings, any adjustment pursuant to this Section 1.6(e) shall be calculated as if all such securities were issued at the initial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Section 1.6 of this Note, the Borrower shall, at its expense and within one (1) calendar day after the occurrence of each respective adjustment or readjustment of the Conversion Price, compute such adjustment or readjustment and prepare and furnish to the Holder a certificate setting forth (i) the Conversion Price in effect at such time based upon the Dilutive Issuance,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In addition, the Borrower shall, within one (1) calendar day after each written request from the Holder, furnish to such Holder a like certificate setting forth (i) the Conversion Price in effect at such time based upon the Dilutive Issuance, (ii) the number of shares of Common Stock and the amount, if any, of other securities or property which at the time would be received upon conversion of the Note, (iii) the detailed facts upon which such adjustment or readjustment is based, and (iv) copies of the documentation (including but not limited to relevant transaction documents) that evidences the adjustment or readjustment. For the avoidance of doubt, each adjustment or readjustment of the Conversion Price as a result of the events described in Section 1.6 of this Note shall occur without any action by the Holder and regardless of whether the Borrower complied with the notification provisions in Section 1.6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the Holder, (i) the Conversion Shares covered thereby shall be deemed converted into shares of Common Stock and (ii) the Holder’s rights as the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the Holder has not received certificates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the Note has not been surrendered, adjust its records to reflect that such portion of this Note has not been converted. In all cases, the Holder shall retain all of its rights and remedies for the Borrower’s failure to convert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At any time on or prior to the date that is three hundred sixty (360) calendar days after the Issue Date (the “Prepayment Period”), the Borrower shall have the right, exercisable on three (3) Trading Days prior written notice to the Holder of the Note, to prepay the outstanding Principal Amount and interest then due under this Note in accordance with this Section 1.8. Any notice of prepayment hereunder (an “Optional Prepayment Notice”) shall be delivered to the Holder of the Note at its registered addresses and shall state: (1) that the Borrower is exercising its right to prepay the Note, and (2) the date of prepayment which shall be three (3) Trading Days from the date of the Optional Prepayment Notice (the “Optional Prepayment Date”). The Holder shall have the right, during the period beginning on the date of Holder’s receipt of the Optional Prepayment Notice and until the Holder’s actual receipt of the full prepayment amount on the Optional Prepayment Date, to instead convert all or any portion of the Note at the Conversion Price, including the amount of this Note to be prepaid by the Borrower in accordance with this Section 1.8. On the Optional Prepayment Date, the Borrower shall make payment of the amounts designated below to or upon the order of the Holder as specified by the Holder in writing to the Borrower. If the Borrower exercises its right to prepay the Note in accordance with this Section 1.8, the Borrower shall make payment to the Holder of an amount in cash equal to the sum of: (w) 110% multiplied by the Principal Amount then outstanding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(x) 110% multiplied by the accrued and unpaid interest on the Principal Amount to the Optional Prepayment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Repayment from Proceeds</w:t>
      </w:r>
      <w:r>
        <w:rPr>
          <w:rFonts w:ascii="Times New Roman;Times;Serif" w:hAnsi="Times New Roman;Times;Serif"/>
          <w:b w:val="false"/>
          <w:i w:val="false"/>
          <w:caps w:val="false"/>
          <w:smallCaps w:val="false"/>
          <w:sz w:val="20"/>
        </w:rPr>
        <w:t>. If, at any time on or after the Issue Date of this Note, and prior to the full repayment or full conversion of all amounts owed under this Note, the Company or any of the Company’s Subsidiaries receives cash proceeds from any source or series of related or unrelated sources on or after the Issue Date, including but not limited to, from the issuance of equity or debt, the incurrence of indebtedness, a merchant cash advance, sale of receivables or similar transaction, the conversion of outstanding warrants of the Company or any of the Company’s Subsidiaries, the issuance of securities pursuant to an Equity Line of Credit (as defined in this Note) of the Company, or the sale of assets (including but not limited to real property) by the Company or any of the Company’s Subsidiaries, the Company shall, within one (1) business day of Company’s or the Subsidiaries’ receipt of such proceeds, inform the Holder of or publicly disclose such receipt, following which the Holder shall have the right in its sole discretion to require the Company or the Subsidiaries to immediately apply up to 100% of such proceeds to repay all or any portion of the outstanding Principal Amount and interest (including any Default Interest) then due under this Note. Failure of the Company to comply with this provision shall constitute an Event of Default. “Equity Line of Credit” shall mean any transaction involving a written agreement between the Company and an investor or underwriter whereby the Company has the right to “put” its Common Stock to the investor or underwriter over an agreed period of time and at an agreed price or price formula (such Common Stock must be registered pursuant to a registration statement of the Company for the investor’s or underwriter’s resale). For the avoidance of doubt, the prepayment percentage of 110% as further provided for in Section 1.8 of this Note shall apply to any repayment of the Note under this Section 1.9 during the Prepayment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RANKING AND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Ranking</w:t>
      </w:r>
      <w:r>
        <w:rPr>
          <w:rFonts w:ascii="Times New Roman;Times;Serif" w:hAnsi="Times New Roman;Times;Serif"/>
          <w:b w:val="false"/>
          <w:i w:val="false"/>
          <w:caps w:val="false"/>
          <w:smallCaps w:val="false"/>
          <w:sz w:val="20"/>
        </w:rPr>
        <w:t>. This Note shall be an unsecured obligation of the Borrower. “Indebtedness” shall mean all indebtedness, including but not limited to (a) all indebtedness of the Borrower or Subsidiaries for the deferred purchase price of property or services, including any type of letters of credit, (b) all liabilities, obligations and indebtedness for borrowed money including, but not limited to, all obligations of the Borrower or Subsidiaries evidenced by notes, bonds, debentures or other similar instruments, (c) purchase money indebtedness hereafter incurred by the Borrower or Subsidiaries to finance the purchase of fixed or capital assets, including all capital lease obligations of the Borrower which do not exceed the purchase price of the assets funded, (d) all guaranties, endorsements and other contingent obligations in respect of indebtedness of Borrower, Subsidiaries or others, whether or not the same are or should be reflected in the Borrower’s or Subsidiaries’ consolidated balance sheet (or the notes thereto), (e) all guarantee obligations of the Borrower or Subsidiaries in respect of obligations of the kind referred to in clauses (a) through (d) above that the Borrower or Subsidiaries would not be permitted to incur or enter into, and (f) all obligations of the kind referred to in clauses (a) through (e) above that the Borrower or Subsidiaries is not permitted to incur or enter into that are secured and/or unsecured by (or for which the holder of such obligation has an existing right, contingent or otherwise, to be secured and/or unsecured by) any lien or encumbrance on property (including accounts and contract rights) owned by the Borrower or Subsidiaries, whether or not the Borrower or Subsidiaries has assumed or become liable for the payment of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Distributions on Capital Stock.</w:t>
      </w:r>
      <w:r>
        <w:rPr>
          <w:rFonts w:ascii="Times New Roman;Times;Serif" w:hAnsi="Times New Roman;Times;Serif"/>
          <w:b w:val="false"/>
          <w:i w:val="false"/>
          <w:caps w:val="false"/>
          <w:smallCaps w:val="false"/>
          <w:sz w:val="20"/>
        </w:rPr>
        <w:t xml:space="preserve"> So long as the Borrower shall have any obligation under this Note, the Borrower shall not without the Holder’s written consent (a) pay, declare or set apart for such payment, any dividend or other distribution (whether in cash, property or other securities) on shares of capital stock other than dividends on shares of Common Stock solely in the form of additional shares of Common Stock or (b) directly or indirectly or through any subsidiary make any other payment or distribution in respect of its capital stock except for distributions pursuant to any shareholders’ rights plan which is approved by a majority of the Borrower’s disinterested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Sale of Assets.</w:t>
      </w:r>
      <w:r>
        <w:rPr>
          <w:rFonts w:ascii="Times New Roman;Times;Serif" w:hAnsi="Times New Roman;Times;Serif"/>
          <w:b w:val="false"/>
          <w:i w:val="false"/>
          <w:caps w:val="false"/>
          <w:smallCaps w:val="false"/>
          <w:sz w:val="20"/>
        </w:rPr>
        <w:t xml:space="preserve"> So long as the Borrower shall have any obligation under this Note, neither the Borrower nor any of the Borrower’s Subsidiaries shall, without the Holder’s written consent, sell, lease or otherwise dispose of any significant portion of its assets outside the ordinary course of business. Any consent by the Holder to the disposition of any assets may be conditioned on a specified use of the proceeds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Penny Stock</w:t>
      </w:r>
      <w:r>
        <w:rPr>
          <w:rFonts w:ascii="Times New Roman;Times;Serif" w:hAnsi="Times New Roman;Times;Serif"/>
          <w:b w:val="false"/>
          <w:i w:val="false"/>
          <w:caps w:val="false"/>
          <w:smallCaps w:val="false"/>
          <w:sz w:val="20"/>
        </w:rPr>
        <w:t>. Notwithstanding anything to the contrary in this Note, upon the first occurrence of the Common Stock being deemed to be a “penny stock” as defined in SEC Rule 240.3a51-1 on or after the Issue Date, this Note shall no longer be convertible into Common Stock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Section 3(a)(9) or 3(a)(10) Transaction</w:t>
      </w:r>
      <w:r>
        <w:rPr>
          <w:rFonts w:ascii="Times New Roman;Times;Serif" w:hAnsi="Times New Roman;Times;Serif"/>
          <w:b w:val="false"/>
          <w:i w:val="false"/>
          <w:caps w:val="false"/>
          <w:smallCaps w:val="false"/>
          <w:sz w:val="20"/>
        </w:rPr>
        <w:t>. So long as this Note is outstanding, the Borrower shall not enter into any transaction or arrangement structured in accordance with, based upon, or related or pursuant to, in whole or in part, either Section 3(a)(9) of the Securities Act (a “3(a)(9) Transaction”) or Section 3(a)(10) of the Securities Act (a “3(a)(10) Transaction”). In the event that the Borrower does enter into, or makes any issuance of Common Stock related to a 3(a)(9) Transaction or a 3(a)(10) Transaction while this note is outstanding, a liquidated damages charge of 25% of the outstanding principal balance of this Note, but not less than $25,000, will be assessed and will become immediately due and payable to the Holder at its election in the form of a cash payment or added to the balance of this Note (under Holder’s and Borrower’s expectation that this amount will tack back to the Issue Date), in addition to all other available remedies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Preservation of Business and Existence, etc</w:t>
      </w:r>
      <w:r>
        <w:rPr>
          <w:rFonts w:ascii="Times New Roman;Times;Serif" w:hAnsi="Times New Roman;Times;Serif"/>
          <w:b w:val="false"/>
          <w:i w:val="false"/>
          <w:caps w:val="false"/>
          <w:smallCaps w:val="false"/>
          <w:sz w:val="20"/>
        </w:rPr>
        <w:t>. Beginning on the Issue Date and continuing for so long as the Borrower shall have any obligation under this Note, the Borrower shall not, without the Holder’s written consent, (a) change the nature of its business; (b) sell, divest, change the structure of any material assets other than in the ordinary course of business; or (c) enter into any Prohibited Transaction (as defined in this Note). “Prohibited Transaction” shall mean any merchant cash advance transaction, sale of receivables transaction, or any other similar transaction. In addition, so long as the Borrower shall have any obligation under this Note, the Borrower shall maintain and preserve, and cause each of its Subsidiaries to maintain and preserve, its existence, rights and privileges, and become or remain, and cause each of its Subsidiaries (other than dormant Subsidiaries that have no or minimum assets)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or Articles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the provisions of this Note and take all action as may be required to protect the rights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be considered an event of default if any of the following events listed in this Article III (each, an “Event of Default”) shall occur on or after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xml:space="preserve"> The Borrower fails to pay the Principal Amount hereof or interest thereon when due on this Note, whether at maturity, upon acceleration or otherwise, or fails to fully comply with Section 1.9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xml:space="preserve"> The Borrower (i) fails to issue Conversion Shares to the Holder (or announces or threatens in writing that it will not honor its obligation to do so) upon exercise by the Holder of the conversion rights of the Holder in accordance with the terms of this Note, (ii) fails to transfer or cause its transfer agent to transfer (issue) (electronically or in certificated form) any certificate for the Conversion Shares issuable to the Holder upon conversion of or otherwise pursuant to this Note as and when required by this Note, (iii) fails to reserve the Reserved Amount at all times, (iv) the Borrower directs its transfer agent not to transfer or delays, impairs, and/or hinders its transfer agent in transferring (or issuing) (electronically or in certificated form) any certificate for the Conversion Shares issuable to the Holder upon conversion of or otherwise pursuant to this Note as and when required by this Note, or fails to remove (or directs its transfer agent not to remove or impairs, delays, and/or hinders its transfer agent from removing) any restrictive legend (or to withdraw any stop transfer instructions in respect thereof) on any certificate for any Conversion Shares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Trading Days after the Holder shall have delivered a Notice of Conversion, and/or (v) fails to remain current in its obligations to its transfer agent (including but not limited to payment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added to the principal balance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Breach of Agreements and Covenants.</w:t>
      </w:r>
      <w:r>
        <w:rPr>
          <w:rFonts w:ascii="Times New Roman;Times;Serif" w:hAnsi="Times New Roman;Times;Serif"/>
          <w:b w:val="false"/>
          <w:i w:val="false"/>
          <w:caps w:val="false"/>
          <w:smallCaps w:val="false"/>
          <w:sz w:val="20"/>
        </w:rPr>
        <w:t xml:space="preserve"> The Borrower breaches any covenant, agreement, or other term or condition contained in the Purchase Agreement, this Note, Irrevocable Transfer Agent Instructions (as defined in the Purchase Agreement) (the “Irrevocable Transfer Agent Instructions”), or in any agreement, statement or certificate given in writing pursuant hereto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xml:space="preserve"> Any representation or warranty of the Borrower made in the Purchase Agreement, this Note, Irrevocable Transfer Agent Instructions, or in any agreement, statement or certificate given in writing pursuant hereto or in connection herewith or therewith shall be false or misleading in any material respect when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Receiver or Trustee.</w:t>
      </w:r>
      <w:r>
        <w:rPr>
          <w:rFonts w:ascii="Times New Roman;Times;Serif" w:hAnsi="Times New Roman;Times;Serif"/>
          <w:b w:val="false"/>
          <w:i w:val="false"/>
          <w:caps w:val="false"/>
          <w:smallCaps w:val="false"/>
          <w:sz w:val="20"/>
        </w:rPr>
        <w:t xml:space="preserve"> The Borrower or any subsidiary of the Borrower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xml:space="preserve"> Any money judgment, writ or similar process shall be entered or filed against the Borrower or any subsidiary of the Borrower or any of its property or other assets for more than $100,000, and shall remain unvacated, unbonded or unstayed for a period of twenty (20) days unless otherwise consented to by the Holder,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xml:space="preserve"> Bankruptcy, insolvency, reorganization or liquidation proceedings or other proceedings, voluntary or involuntary, for relief under any bankruptcy law or any law for the relief of debtors shall be instituted by or against the Borrower or any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xml:space="preserve"> At any time on or after the Issue Date, the Borrower shall fail to comply with the reporting requirements of the 1934 Act and/or the Borrower shall cease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xml:space="preserve"> Any dissolution, liquidation, or winding up of Borrower or any substantial portion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xml:space="preserve">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xml:space="preserve"> The restatement of any financial statements filed by the Borrower with the SEC for any date or period from two years prior to the Issue Date of this Note and until this Note is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xml:space="preserve"> In the event that the Borrower proposes to replace its transfer agent, the Borrower fails to provide, prior to the effective date of such replacement, a fully executed Irrevocable Transfer Agent Instructions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The declaration of an event of default by any lender or other extender of credit to the Company under any notes, loans, agreements or other instruments of the Company evidencing any Indebtedness of the Company (including those filed as exhibits to or described in the Company’s filings with the SEC), after the passage of all applicable notice and cure or grace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Variable Rate and Prohibited Transactions</w:t>
      </w:r>
      <w:r>
        <w:rPr>
          <w:rFonts w:ascii="Times New Roman;Times;Serif" w:hAnsi="Times New Roman;Times;Serif"/>
          <w:b w:val="false"/>
          <w:i w:val="false"/>
          <w:caps w:val="false"/>
          <w:smallCaps w:val="false"/>
          <w:sz w:val="20"/>
        </w:rPr>
        <w:t>. The Borrower consummates a Variable Rate Transaction or Prohibited Transaction at any time on or after the Issue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attempt by the Borrower or its officers, directors, and/or affiliates to transmit, convey, disclose, or any actual transmittal, conveyance, or disclosure by the Borrower or its officers, directors, and/or affiliates of, material non-public information concerning the Borrower, to the Holder or its successors and assigns, which is not immediately cured by Borrower’s filing of a Form 8-K pursuant to Regulation FD on that same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Unavailability of Rule 144</w:t>
      </w:r>
      <w:r>
        <w:rPr>
          <w:rFonts w:ascii="Times New Roman;Times;Serif" w:hAnsi="Times New Roman;Times;Serif"/>
          <w:b w:val="false"/>
          <w:i w:val="false"/>
          <w:caps w:val="false"/>
          <w:smallCaps w:val="false"/>
          <w:sz w:val="20"/>
        </w:rPr>
        <w:t>. If, at any time on or after the date that is six (6) calendar months after the Issue Date, the Holder is unable to (i) obtain a standard “144 legal opinion letter” from an attorney reasonably acceptable to the Holder, the Holder’s brokerage firm (and respective clearing firm), and the Borrower’s transfer agent in order to facilitate the Holder’s conversion of any portion of the Note into free trading shares of the Borrower’s Common Stock pursuant to Rule 144, and/or (ii) thereupon deposit such shares into the Holder’s brokerage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Delisting, Suspension, or Quotation of Trading of Common Stock</w:t>
      </w:r>
      <w:r>
        <w:rPr>
          <w:rFonts w:ascii="Times New Roman;Times;Serif" w:hAnsi="Times New Roman;Times;Serif"/>
          <w:b w:val="false"/>
          <w:i w:val="false"/>
          <w:caps w:val="false"/>
          <w:smallCaps w:val="false"/>
          <w:sz w:val="20"/>
        </w:rPr>
        <w:t>. If, at any time on or after the Issue Date, the Borrower’s Common Stock (i) is suspended from trading, (ii) halted from trading, and/or (iii) fails to be listed on a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Penny Stock</w:t>
      </w:r>
      <w:r>
        <w:rPr>
          <w:rFonts w:ascii="Times New Roman;Times;Serif" w:hAnsi="Times New Roman;Times;Serif"/>
          <w:b w:val="false"/>
          <w:i w:val="false"/>
          <w:caps w:val="false"/>
          <w:smallCaps w:val="false"/>
          <w:sz w:val="20"/>
        </w:rPr>
        <w:t>. If, at any time on or after the Issue Date, the Common Stock becomes a “penny stock” as defined in SEC Rule 240.3a51-1 on or after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Market Capitalization</w:t>
      </w:r>
      <w:r>
        <w:rPr>
          <w:rFonts w:ascii="Times New Roman;Times;Serif" w:hAnsi="Times New Roman;Times;Serif"/>
          <w:b w:val="false"/>
          <w:i w:val="false"/>
          <w:caps w:val="false"/>
          <w:smallCaps w:val="false"/>
          <w:sz w:val="20"/>
        </w:rPr>
        <w:t>. The Borrower fails to maintain a market capitalization of at least $100,000,000 on any Trading Day, which shall be calculated by multiplying (i) the closing price of the Borrower’s Common Stock on the Trading Day immediately preceding the respective date of calculation by (ii) the total shares of the Borrower’s Common Stock issued and outstanding on the Trading Day immediately preceding the respective date of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Failure to Pay an Amortization Payment</w:t>
      </w:r>
      <w:r>
        <w:rPr>
          <w:rFonts w:ascii="Times New Roman;Times;Serif" w:hAnsi="Times New Roman;Times;Serif"/>
          <w:b w:val="false"/>
          <w:i w:val="false"/>
          <w:caps w:val="false"/>
          <w:smallCaps w:val="false"/>
          <w:sz w:val="20"/>
        </w:rPr>
        <w:t>. The Borrower fails to pay an Amortization Payment (as defined in this Note) when due as provided in Section 4.16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Rights and Remedies Upon an Event of Default</w:t>
      </w:r>
      <w:r>
        <w:rPr>
          <w:rFonts w:ascii="Times New Roman;Times;Serif" w:hAnsi="Times New Roman;Times;Serif"/>
          <w:b w:val="false"/>
          <w:i w:val="false"/>
          <w:caps w:val="false"/>
          <w:smallCaps w:val="false"/>
          <w:sz w:val="20"/>
        </w:rPr>
        <w:t>. Upon the occurrence of any Event of Default specified in this Article III, this Note shall become immediately due and payable, and the Borrower shall pay to the Holder, in full satisfaction of its obligations hereunder, an amount equal to the Principal Amount then outstanding plus accrued interest (including any Default Interest) through the date of full repayment multiplied by 200% (collectively the “Default Amount”), as well as all costs, including, without limitation, legal fees and expenses, of collection, all without demand, presentment or notice, all of which hereby are expressly waived by the Borrower. n addition, the principal balance of the Note shall increase by $5,000.00 on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each calendar month after the date of the occurrence of an Event of Default until the Note is repaid in the entirety. Holder may, in Holder’s sole discretion, convert all or any portion of this Note (including the Default Amount) into Common Stock pursuant to the terms of this Note (for the avoidance of doubt, this shall apply even if such conversion occurs after the Maturity Date). The Holder shall be entitled to exercise all other rights and remedies available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Holder existing hereunder are cumulative to, and not exclusive of, any rights or remedies otherwise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i w:val="false"/>
          <w:caps/>
          <w:sz w:val="20"/>
        </w:rPr>
      </w:pPr>
      <w:r>
        <w:rPr>
          <w:rFonts w:ascii="Times New Roman;Times;Serif" w:hAnsi="Times New Roman;Times;Serif"/>
          <w:b/>
          <w:i w:val="false"/>
          <w:caps/>
          <w:sz w:val="20"/>
        </w:rPr>
        <w:t>Solowin Holdings</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1910-1912A, Tower 3, China Hong Kong City</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Canton Road, Tsim Sha Tsui, Kowloon Hong Kong</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Ling Ngai Lok</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Note and any provision hereof may only be amended by an instrument in writing signed by the Borrower and the Holder. The term “Note” and all reference thereto, as used throughout this instrument, shall mean this instrument as originally executed, or if later amended or supplemented, then as so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xml:space="preserve"> This Note shall be binding upon the Borrower and its successors and assigns, and shall inure to be the benefit of the Holder and its successors and assigns. The Borrower shall not assign this Note or any rights or obligations hereunder without the prior written consent of the Holder. The Holder may assign its rights hereunder to any “accredited investor” (as defined in Rule 501(a) of the 1933 Act) in a private transaction from the Holder or to any of its “affiliates”, as that term is defined under the 1934 Act,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xml:space="preserve"> If default is made in the payment of this Note, the Borrower shall pay the Holder hereof costs of collection,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Arbitration of Claims; Governing Law; Venue; Attorney’s Fees.</w:t>
      </w:r>
      <w:r>
        <w:rPr>
          <w:rFonts w:ascii="Times New Roman;Times;Serif" w:hAnsi="Times New Roman;Times;Serif"/>
          <w:b w:val="false"/>
          <w:i w:val="false"/>
          <w:caps w:val="false"/>
          <w:smallCaps w:val="false"/>
          <w:sz w:val="20"/>
        </w:rPr>
        <w:t xml:space="preserve"> The Company and Holder shall submit all Claims (as defined in Exhibit B of the Purchase Agreement) (the “Claims”) arising under this Note or any other agreement between the parties and their affiliates or any Claim relating to the relationship of the parties to binding arbitration pursuant to the arbitration provisions set forth in Exhibit B of the Purchase Agreement (the “Arbitration Provisions”). The Company and Holder hereby acknowledge and agree that the Arbitration Provisions are unconditionally binding on the Company and Holder hereto and are severable from all other provisions of this Note. By executing this Note,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The Company acknowledges and agrees that Holder may rely upon the foregoing representations and covenants of the Company regarding the Arbitration Provisions.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Holder consent to and expressly agree that the exclusive venue for arbitration of any Claims arising under this Note or any other agreement between the Company and Holder or their respective affiliates (including but not limited to the Transaction Documents) or any Claim relating to the relationship of the Company and Holder or their respective affiliates shall be in the State of Delaware. Without modifying the Company’s and Holder’s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or otherwise related to Holder in any way (specifically including, without limitation, any action where Company seeks to obtain an injunction, temporary restraining order, or otherwise prohibit the Company’s transfer agent from issuing shares of Common Stock to Holder for any reason)), each party hereto hereby (i) consents to and expressly submits to the exclusive personal jurisdiction of any state or federal court sitting in the State of Delaware,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Holder for any reason) outside of any state or federal court sitting in the State of Delaware,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(i) shall limit, or shall be deemed or construed to limit, the ability of the Holder to realize on any collateral or any other security, or to enforce a judgment or other court ruling in favor of the Holder, including through a legal action in any court of competent jurisdiction, or (ii) shall limit, or shall be deemed or construed to limit, any provision of Section 4.15 of this Note.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NOTE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Note or any other agreement, certificate, instrument or document contemplated hereby or thereby by mailing a copy thereof via registered or certified mail or overnight delivery (with evidence of delivery) to Company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Note or any other agreement, certificate, instrument or document contemplated hereby or thereby shall be entitled to recover from the other party its reasonable attorney’s fees and costs. If any provision of this Note shall be invalid or unenforceable in any jurisdiction, such invalidity or unenforceability shall not affect the validity or enforceability of the remainder of this Note in that jurisdiction or the validity or enforceability of any provision of this Note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xml:space="preserve"> Whenever pursuant to this Note the Borrower is required to pay an amount in excess of the outstanding Principal Amount (or the portion thereof required to be paid at that time) plus accrued and unpaid interest plus Default Interest on such interest, the Borrower and the Holder agree that the actual damages to the Holder from the receipt of cash payment on this Note may be difficult to determine and the amount to be so paid by the Borrower represents stipulated damages and not a penalty and is intended to compensate the Holder in part for loss of the opportunity to convert this Note and to earn a return from the sale of shares of Common Stock acquired upon conversion of this Note at a price in excess of the price paid for such shares pursuant to this Note. The Borrower and the Holder hereby agree that such amount of stipulated damages is not plainly disproportionate to the possible loss to the Holder from the receipt of a cash payment without the opportunity to convert this Note into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[Intentionally Omited]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Holder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Holder in order to enforce any right or remedy under this Note. Notwithstanding any provision to the contrary contained in this Note, it is expressly agreed and provided that the total liability of the Company under this Note for payments which under the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the applicable law in the nature of interest that the Company may be obligated to pay under this Note exceed such Maximum Rate. It is agreed that if the maximum contract rate of interest allowed by applicable law and applicable to this Note is increased or decreased by statute or any official governmental action subsequent to the Issue Date, the new maximum contract rate of interest allowed by law will be the Maximum Rate applicable to this Note from the effective date thereof forward, unless such application is precluded by applicable law. If under any circumstances whatsoever, interest in excess of the Maximum Rate is paid by the Company to the Holder with respect to indebtedness evidenced by this the Note, such excess shall be applied by the Holder to the unpaid principal balance of any such indebtedness or be refunded to the Company, the manner of handling such excess to be at the Holder’s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Note is invalid or unenforceable under any applicable statute or rule of law (including any judicial ruling),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Terms of Future Financings.</w:t>
      </w:r>
      <w:r>
        <w:rPr>
          <w:rFonts w:ascii="Times New Roman;Times;Serif" w:hAnsi="Times New Roman;Times;Serif"/>
          <w:b w:val="false"/>
          <w:i w:val="false"/>
          <w:caps w:val="false"/>
          <w:smallCaps w:val="false"/>
          <w:sz w:val="20"/>
        </w:rPr>
        <w:t xml:space="preserve"> So long as this Note is outstanding, upon any issuance by the Borrower or any of its Subsidiaries of any security, or amendment to a security that was originally issued before the Issue Date, with any term that the Holder reasonably believes is more favorable to the holder of such security or with a term in favor of the holder of such security that the Holder reasonably believes was not similarly provided to the Holder in this Note (even if the holder of such other security does not receive the benefit of such more favorable term until a default occurs under such other security), then (i) the Borrower shall notify the Holder of such additional or more favorable term within one (1) business day of the issuance and/or amendment (as applicable) of the respective security, and (ii) such term, at Holder’s option, shall become a part of the transaction documents with the Holder (regardless of whether the Borrower complied with the notification provision of this Section 4.13). The types of terms contained in another security that may be more favorable to the holder of such security include, but are not limited to, terms addressing prepayment rate, interest rates, conversion price, and original issue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dispute relating to the Conversion Price, Conversion Amount, any prepayment amount or Default Amount, Issue Date, Closing Date, Maturity Date, or fair market value (as the case may be) (including, without limitation, a dispute relating to the determination of any of the foregoing) (the “Note Calculations”), the Company or the Holder (as the case may be) shall submit the dispute to the other party via electronic mail (A) if by the Company, within two (2) Trading Days after the occurrence of the circumstances giving rise to such dispute or (B) if by the Holder, at any time after the Holder learned of the circumstances giving rise to such dispute. If the Holder and the Company are unable to agree upon such determination or calculation within two (2) Trading Days following such initial notice by the Company or the Holder (as the case may be) of such dispute to the Company or the Holder (as the case may be), then the Holder may, at its sole option, submit the dispute to an independent, reputable investment bank or independent, outside accountant selected by the Holder (the “Independent Third Party”), and the Company shall pay all expenses of such Independent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 and the Company shall each deliver to such Independent Third Party (A) a copy of the initial dispute submission so delivered in accordance with the first sentence of this Section 4.15(a) and (B) written documentation supporting its position with respect to such dispute, in each case, no later than 5:00 p.m. (New York time) by second (2nd) Business Day immediately following the date on which the Holder selected such Independent Third Party (the “Dispute Submission Deadline”) (the documents referred to in the immediately preceding clauses (A) and (B) are collectively referred to herein as the “Required Dispute Documentation”)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Independent Third Party with respect to such dispute and such Independent Third Party shall resolve such dispute based solely on the Required Dispute Documentation that was delivered to such Independent Third Party prior to the Dispute Submission Deadline). Unless otherwise agreed to in writing by both the Company and the Holder or otherwise requested by such Independent Third Party, neither the Company nor the Holder shall be entitled to deliver or submit any written documentation or other support to such Independent Third Party in connection with such dispute, other than the Required Dispute Documentation.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the Holder shall cause such Independent Third Party to determine the resolution of such dispute and notify the Company and the Holder of such resolution no later than five (5) Business Days immediately following the Dispute Submission Deadline. The fees and expenses of such Independent Third Party shall be borne solely by the Company, and such Independent Third Party’s resolution of such dispute shall be final and binding upon all parties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expressly acknowledges and agrees that (i) this Section 4.15 constitutes an agreement to arbitrate between the Company and the Holder (and constitutes an arbitration agreement) under the rules then in effect under the Delaware Rules of Civil Procedure (“DRCP”) and that the Holder is authorized to apply for an order to compel arbitration pursuant to the DRCP in order to compel compliance with this Section 4.15, (ii) a dispute relating to the Note Calculations includes, without limitation, disputes as to (A) whether an issuance or sale or deemed issuance or sale of Common Stock occurred under Section 1.6 of this Note, (B) the consideration per share at which an issuance or deemed issuance of Common Stock occurred, (C) whether any issuance or sale or deemed issuance or sale of Common Stock was an issuance or sale or deemed issuance or sale, (D) whether an agreement, instrument, security or the like constitutes a Common Stock Equivalent and (E) whether a Dilutive Issuance occurred, (iii) the terms of this Note and each other applicable Transaction Document shall serve as the basis for the selected Independent Third Party’s resolution of the applicable dispute, such Independent Third Party shall be entitled (and is hereby expressly authorized) to make all findings, determinations and the like that such Independent Third Party determines are required to be made by such Independent Third Party in connection with its resolution of such dispute (including, without limitation, determining (A) whether an issuance or sale or deemed issuance or sale of Common Stock occurred under Section 1.6 of this Note, (B) the consideration per share at which an issuance or deemed issuance of Common Stock occurred, (C) whether any issuance or sale or deemed issuance or sale of Common Stock was an issuance or sale or deemed issuance or sale, (D) whether an agreement, instrument, security or the like constitutes a Common Stock Equivalent and (E) whether a Dilutive Issuance occurred) and in resolving such dispute such Independent Third Party shall apply such findings, determinations and the like to the terms of this Note and any other applicable Transaction Documents, and (iv) nothing in this Section 4.15 shall limit the Holder from obtaining any injunctive relief or other equitable remedies (including, without limitation, with respect to any matters described in this Section 4.15)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Amortization Payments</w:t>
      </w:r>
      <w:r>
        <w:rPr>
          <w:rFonts w:ascii="Times New Roman;Times;Serif" w:hAnsi="Times New Roman;Times;Serif"/>
          <w:b w:val="false"/>
          <w:i w:val="false"/>
          <w:caps w:val="false"/>
          <w:smallCaps w:val="false"/>
          <w:sz w:val="20"/>
        </w:rPr>
        <w:t>. In addition to all other payment obligations under this Note, Borrower shall also make the following amortization payments (each an “Amortization Payment”) in cash to the Holder towards the repayment of this Note, as provided in the following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97"/>
        <w:gridCol w:w="60"/>
        <w:gridCol w:w="4955"/>
        <w:gridCol w:w="60"/>
        <w:gridCol w:w="140"/>
        <w:gridCol w:w="2717"/>
        <w:gridCol w:w="76"/>
      </w:tblGrid>
      <w:tr>
        <w:trPr/>
        <w:tc>
          <w:tcPr>
            <w:tcW w:w="2197" w:type="dxa"/>
            <w:tcBorders>
              <w:bottom w:val="single" w:sz="12" w:space="0" w:color="000000"/>
            </w:tcBorders>
            <w:vAlign w:val="center"/>
          </w:tcPr>
          <w:p>
            <w:pPr>
              <w:pStyle w:val="TableContents"/>
              <w:bidi w:val="0"/>
              <w:spacing w:before="0" w:after="283"/>
              <w:jc w:val="left"/>
              <w:rPr/>
            </w:pPr>
            <w:r>
              <w:rPr/>
              <w:t>Payment Number for Each Tranche:</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12" w:space="0" w:color="000000"/>
            </w:tcBorders>
            <w:vAlign w:val="center"/>
          </w:tcPr>
          <w:p>
            <w:pPr>
              <w:pStyle w:val="TableContents"/>
              <w:bidi w:val="0"/>
              <w:spacing w:before="0" w:after="283"/>
              <w:jc w:val="center"/>
              <w:rPr/>
            </w:pPr>
            <w:r>
              <w:rPr/>
              <w:t>Payment Date for Each Tranche:</w:t>
            </w:r>
          </w:p>
        </w:tc>
        <w:tc>
          <w:tcPr>
            <w:tcW w:w="60" w:type="dxa"/>
            <w:tcBorders/>
            <w:tcMar>
              <w:bottom w:w="0" w:type="dxa"/>
            </w:tcMar>
            <w:vAlign w:val="center"/>
          </w:tcPr>
          <w:p>
            <w:pPr>
              <w:pStyle w:val="TableContents"/>
              <w:bidi w:val="0"/>
              <w:spacing w:before="0" w:after="283"/>
              <w:jc w:val="left"/>
              <w:rPr/>
            </w:pPr>
            <w:r>
              <w:rPr/>
              <w:t> </w:t>
            </w:r>
          </w:p>
        </w:tc>
        <w:tc>
          <w:tcPr>
            <w:tcW w:w="2857" w:type="dxa"/>
            <w:gridSpan w:val="2"/>
            <w:tcBorders>
              <w:bottom w:val="single" w:sz="12" w:space="0" w:color="000000"/>
            </w:tcBorders>
            <w:vAlign w:val="center"/>
          </w:tcPr>
          <w:p>
            <w:pPr>
              <w:pStyle w:val="TableContents"/>
              <w:bidi w:val="0"/>
              <w:spacing w:before="0" w:after="283"/>
              <w:jc w:val="center"/>
              <w:rPr/>
            </w:pPr>
            <w:r>
              <w:rPr/>
              <w:t>Payment Amount for Each Tranche:</w:t>
            </w:r>
          </w:p>
        </w:tc>
        <w:tc>
          <w:tcPr>
            <w:tcW w:w="76" w:type="dxa"/>
            <w:tcBorders/>
            <w:tcMar>
              <w:bottom w:w="0" w:type="dxa"/>
            </w:tcMar>
            <w:vAlign w:val="center"/>
          </w:tcPr>
          <w:p>
            <w:pPr>
              <w:pStyle w:val="TableContents"/>
              <w:bidi w:val="0"/>
              <w:spacing w:before="0" w:after="283"/>
              <w:jc w:val="left"/>
              <w:rPr/>
            </w:pPr>
            <w:r>
              <w:rPr/>
              <w:t> </w:t>
            </w:r>
          </w:p>
        </w:tc>
      </w:tr>
      <w:tr>
        <w:trPr/>
        <w:tc>
          <w:tcPr>
            <w:tcW w:w="2197"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pPr>
            <w:r>
              <w:rPr/>
              <w:t>Thirty (30) calendar days after the Funding Date of the respective Tranche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717" w:type="dxa"/>
            <w:tcBorders/>
            <w:shd w:fill="CCEEFF" w:val="clear"/>
            <w:tcMar>
              <w:bottom w:w="0" w:type="dxa"/>
            </w:tcMar>
            <w:vAlign w:val="center"/>
          </w:tcPr>
          <w:p>
            <w:pPr>
              <w:pStyle w:val="TableContents"/>
              <w:bidi w:val="0"/>
              <w:spacing w:before="0" w:after="283"/>
              <w:jc w:val="right"/>
              <w:rPr/>
            </w:pPr>
            <w:r>
              <w:rPr/>
              <w:t>38,250.00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197"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pPr>
            <w:r>
              <w:rPr/>
              <w:t>Sixty (60) calendar days after the Funding Date of the respective Tranche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717" w:type="dxa"/>
            <w:tcBorders/>
            <w:shd w:fill="FFFFFF" w:val="clear"/>
            <w:tcMar>
              <w:bottom w:w="0" w:type="dxa"/>
            </w:tcMar>
            <w:vAlign w:val="center"/>
          </w:tcPr>
          <w:p>
            <w:pPr>
              <w:pStyle w:val="TableContents"/>
              <w:bidi w:val="0"/>
              <w:spacing w:before="0" w:after="283"/>
              <w:jc w:val="right"/>
              <w:rPr/>
            </w:pPr>
            <w:r>
              <w:rPr/>
              <w:t>38,250.00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2197"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pPr>
            <w:r>
              <w:rPr/>
              <w:t>Ninety (90) calendar days after the Funding Date of the respective Tranche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717" w:type="dxa"/>
            <w:tcBorders/>
            <w:shd w:fill="CCEEFF" w:val="clear"/>
            <w:tcMar>
              <w:bottom w:w="0" w:type="dxa"/>
            </w:tcMar>
            <w:vAlign w:val="center"/>
          </w:tcPr>
          <w:p>
            <w:pPr>
              <w:pStyle w:val="TableContents"/>
              <w:bidi w:val="0"/>
              <w:spacing w:before="0" w:after="283"/>
              <w:jc w:val="right"/>
              <w:rPr/>
            </w:pPr>
            <w:r>
              <w:rPr/>
              <w:t>38,250.00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197"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pPr>
            <w:r>
              <w:rPr/>
              <w:t>One Hundred Twenty (120) calendar days after the Funding Date of the respective Tranche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717" w:type="dxa"/>
            <w:tcBorders/>
            <w:shd w:fill="FFFFFF" w:val="clear"/>
            <w:tcMar>
              <w:bottom w:w="0" w:type="dxa"/>
            </w:tcMar>
            <w:vAlign w:val="center"/>
          </w:tcPr>
          <w:p>
            <w:pPr>
              <w:pStyle w:val="TableContents"/>
              <w:bidi w:val="0"/>
              <w:spacing w:before="0" w:after="283"/>
              <w:jc w:val="right"/>
              <w:rPr/>
            </w:pPr>
            <w:r>
              <w:rPr/>
              <w:t>38,250.00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2197"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pPr>
            <w:r>
              <w:rPr/>
              <w:t>One Hundred Fifty (150) calendar days after the Funding Date of the respective Tranche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717" w:type="dxa"/>
            <w:tcBorders/>
            <w:shd w:fill="CCEEFF" w:val="clear"/>
            <w:tcMar>
              <w:bottom w:w="0" w:type="dxa"/>
            </w:tcMar>
            <w:vAlign w:val="center"/>
          </w:tcPr>
          <w:p>
            <w:pPr>
              <w:pStyle w:val="TableContents"/>
              <w:bidi w:val="0"/>
              <w:spacing w:before="0" w:after="283"/>
              <w:jc w:val="right"/>
              <w:rPr/>
            </w:pPr>
            <w:r>
              <w:rPr/>
              <w:t>38,250.00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197" w:type="dxa"/>
            <w:tcBorders/>
            <w:shd w:fill="FFFFFF" w:val="clear"/>
            <w:tcMar>
              <w:bottom w:w="0" w:type="dxa"/>
            </w:tcMar>
            <w:vAlign w:val="center"/>
          </w:tcPr>
          <w:p>
            <w:pPr>
              <w:pStyle w:val="TableContents"/>
              <w:bidi w:val="0"/>
              <w:spacing w:before="0" w:after="283"/>
              <w:jc w:val="lef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pPr>
            <w:r>
              <w:rPr/>
              <w:t>One Hundred Eighty (180) calendar days after the Funding Date of the respective Tranche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717" w:type="dxa"/>
            <w:tcBorders/>
            <w:shd w:fill="FFFFFF" w:val="clear"/>
            <w:tcMar>
              <w:bottom w:w="0" w:type="dxa"/>
            </w:tcMar>
            <w:vAlign w:val="center"/>
          </w:tcPr>
          <w:p>
            <w:pPr>
              <w:pStyle w:val="TableContents"/>
              <w:bidi w:val="0"/>
              <w:spacing w:before="0" w:after="283"/>
              <w:jc w:val="right"/>
              <w:rPr/>
            </w:pPr>
            <w:r>
              <w:rPr/>
              <w:t>38,250.00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2197"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pPr>
            <w:r>
              <w:rPr/>
              <w:t>Two Hundred Ten (210) calendar days after the Funding Date of the respective Tranche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717" w:type="dxa"/>
            <w:tcBorders/>
            <w:shd w:fill="CCEEFF" w:val="clear"/>
            <w:tcMar>
              <w:bottom w:w="0" w:type="dxa"/>
            </w:tcMar>
            <w:vAlign w:val="center"/>
          </w:tcPr>
          <w:p>
            <w:pPr>
              <w:pStyle w:val="TableContents"/>
              <w:bidi w:val="0"/>
              <w:spacing w:before="0" w:after="283"/>
              <w:jc w:val="right"/>
              <w:rPr/>
            </w:pPr>
            <w:r>
              <w:rPr/>
              <w:t>38,250.00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197" w:type="dxa"/>
            <w:tcBorders/>
            <w:shd w:fill="FFFFFF" w:val="clear"/>
            <w:tcMar>
              <w:bottom w:w="0" w:type="dxa"/>
            </w:tcMar>
            <w:vAlign w:val="center"/>
          </w:tcPr>
          <w:p>
            <w:pPr>
              <w:pStyle w:val="TableContents"/>
              <w:bidi w:val="0"/>
              <w:spacing w:before="0" w:after="283"/>
              <w:jc w:val="left"/>
              <w:rPr/>
            </w:pPr>
            <w:r>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pPr>
            <w:r>
              <w:rPr/>
              <w:t>Two Hundred Forty (240) calendar days after the Funding Date of the respective Tranche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717" w:type="dxa"/>
            <w:tcBorders/>
            <w:shd w:fill="FFFFFF" w:val="clear"/>
            <w:tcMar>
              <w:bottom w:w="0" w:type="dxa"/>
            </w:tcMar>
            <w:vAlign w:val="center"/>
          </w:tcPr>
          <w:p>
            <w:pPr>
              <w:pStyle w:val="TableContents"/>
              <w:bidi w:val="0"/>
              <w:spacing w:before="0" w:after="283"/>
              <w:jc w:val="right"/>
              <w:rPr/>
            </w:pPr>
            <w:r>
              <w:rPr/>
              <w:t>38,250.00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2197"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pPr>
            <w:r>
              <w:rPr/>
              <w:t>Two Hundred Seventy (270) calendar days after the Funding Date of the respective Tranche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717" w:type="dxa"/>
            <w:tcBorders/>
            <w:shd w:fill="CCEEFF" w:val="clear"/>
            <w:tcMar>
              <w:bottom w:w="0" w:type="dxa"/>
            </w:tcMar>
            <w:vAlign w:val="center"/>
          </w:tcPr>
          <w:p>
            <w:pPr>
              <w:pStyle w:val="TableContents"/>
              <w:bidi w:val="0"/>
              <w:spacing w:before="0" w:after="283"/>
              <w:jc w:val="right"/>
              <w:rPr/>
            </w:pPr>
            <w:r>
              <w:rPr/>
              <w:t>38,250.00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197" w:type="dxa"/>
            <w:tcBorders/>
            <w:shd w:fill="FFFFFF" w:val="clear"/>
            <w:tcMar>
              <w:bottom w:w="0" w:type="dxa"/>
            </w:tcMar>
            <w:vAlign w:val="center"/>
          </w:tcPr>
          <w:p>
            <w:pPr>
              <w:pStyle w:val="TableContents"/>
              <w:bidi w:val="0"/>
              <w:spacing w:before="0" w:after="283"/>
              <w:jc w:val="lef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pPr>
            <w:r>
              <w:rPr/>
              <w:t>Three Hundred (300) calendar days after the Funding Date of the respective Tranche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2717" w:type="dxa"/>
            <w:tcBorders/>
            <w:shd w:fill="FFFFFF" w:val="clear"/>
            <w:tcMar>
              <w:bottom w:w="0" w:type="dxa"/>
            </w:tcMar>
            <w:vAlign w:val="center"/>
          </w:tcPr>
          <w:p>
            <w:pPr>
              <w:pStyle w:val="TableContents"/>
              <w:bidi w:val="0"/>
              <w:spacing w:before="0" w:after="283"/>
              <w:jc w:val="right"/>
              <w:rPr/>
            </w:pPr>
            <w:r>
              <w:rPr/>
              <w:t>38,250.00</w:t>
            </w:r>
          </w:p>
        </w:tc>
        <w:tc>
          <w:tcPr>
            <w:tcW w:w="76" w:type="dxa"/>
            <w:tcBorders/>
            <w:shd w:fill="FFFFFF" w:val="clear"/>
            <w:tcMar>
              <w:bottom w:w="0" w:type="dxa"/>
            </w:tcMar>
            <w:vAlign w:val="center"/>
          </w:tcPr>
          <w:p>
            <w:pPr>
              <w:pStyle w:val="TableContents"/>
              <w:bidi w:val="0"/>
              <w:spacing w:before="0" w:after="283"/>
              <w:jc w:val="left"/>
              <w:rPr/>
            </w:pPr>
            <w:r>
              <w:rPr/>
              <w:t> </w:t>
            </w:r>
          </w:p>
        </w:tc>
      </w:tr>
      <w:tr>
        <w:trPr/>
        <w:tc>
          <w:tcPr>
            <w:tcW w:w="2197"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pPr>
            <w:r>
              <w:rPr/>
              <w:t>Three Hundred Thirty (330) calendar days after the Funding Date of the respective Tranche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2717" w:type="dxa"/>
            <w:tcBorders/>
            <w:shd w:fill="CCEEFF" w:val="clear"/>
            <w:tcMar>
              <w:bottom w:w="0" w:type="dxa"/>
            </w:tcMar>
            <w:vAlign w:val="center"/>
          </w:tcPr>
          <w:p>
            <w:pPr>
              <w:pStyle w:val="TableContents"/>
              <w:bidi w:val="0"/>
              <w:spacing w:before="0" w:after="283"/>
              <w:jc w:val="right"/>
              <w:rPr/>
            </w:pPr>
            <w:r>
              <w:rPr/>
              <w:t>38,250.00</w:t>
            </w:r>
          </w:p>
        </w:tc>
        <w:tc>
          <w:tcPr>
            <w:tcW w:w="76" w:type="dxa"/>
            <w:tcBorders/>
            <w:shd w:fill="CCEEFF" w:val="clear"/>
            <w:tcMar>
              <w:bottom w:w="0" w:type="dxa"/>
            </w:tcMar>
            <w:vAlign w:val="center"/>
          </w:tcPr>
          <w:p>
            <w:pPr>
              <w:pStyle w:val="TableContents"/>
              <w:bidi w:val="0"/>
              <w:spacing w:before="0" w:after="283"/>
              <w:jc w:val="left"/>
              <w:rPr/>
            </w:pPr>
            <w:r>
              <w:rPr/>
              <w:t> </w:t>
            </w:r>
          </w:p>
        </w:tc>
      </w:tr>
      <w:tr>
        <w:trPr/>
        <w:tc>
          <w:tcPr>
            <w:tcW w:w="2197" w:type="dxa"/>
            <w:tcBorders/>
            <w:shd w:fill="FFFFFF" w:val="clear"/>
            <w:tcMar>
              <w:bottom w:w="0" w:type="dxa"/>
            </w:tcMar>
            <w:vAlign w:val="center"/>
          </w:tcPr>
          <w:p>
            <w:pPr>
              <w:pStyle w:val="TableContents"/>
              <w:bidi w:val="0"/>
              <w:spacing w:before="0" w:after="283"/>
              <w:jc w:val="lef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pPr>
            <w:r>
              <w:rPr/>
              <w:t>Maturity Date of each Tranche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2717" w:type="dxa"/>
            <w:tcBorders/>
            <w:shd w:fill="FFFFFF" w:val="clear"/>
            <w:tcMar>
              <w:bottom w:w="0" w:type="dxa"/>
            </w:tcMar>
            <w:vAlign w:val="center"/>
          </w:tcPr>
          <w:p>
            <w:pPr>
              <w:pStyle w:val="TableContents"/>
              <w:bidi w:val="0"/>
              <w:spacing w:before="0" w:after="283"/>
              <w:jc w:val="right"/>
              <w:rPr>
                <w:sz w:val="20"/>
              </w:rPr>
            </w:pPr>
            <w:r>
              <w:rPr>
                <w:sz w:val="20"/>
              </w:rPr>
              <w:t>The entire remaining outstanding balance of the Note</w:t>
            </w:r>
          </w:p>
        </w:tc>
        <w:tc>
          <w:tcPr>
            <w:tcW w:w="7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each Amortization Payment paid to Holder under this Note shall first reduce all accrued and unpaid interest under the Note, and the remainder of such Amortization Payment (if any) shall reduce the outstanding principal balance of the Note, provided, however, that the prepayment percentage of 110% as further provided for in Section 1.8 of this Note shall apply to any repayment of the Note under this Section 4.16 during the Prepayment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Borrower has caused this Note to be signed in its name by its duly authorized officer on September 10, 2026.</w:t>
      </w:r>
    </w:p>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380"/>
        <w:gridCol w:w="650"/>
        <w:gridCol w:w="2525"/>
        <w:gridCol w:w="75"/>
      </w:tblGrid>
      <w:tr>
        <w:trPr/>
        <w:tc>
          <w:tcPr>
            <w:tcW w:w="3555" w:type="dxa"/>
            <w:gridSpan w:val="3"/>
            <w:tcBorders/>
            <w:vAlign w:val="center"/>
          </w:tcPr>
          <w:p>
            <w:pPr>
              <w:pStyle w:val="TableContents"/>
              <w:bidi w:val="0"/>
              <w:spacing w:before="0" w:after="283"/>
              <w:ind w:left="0" w:right="0" w:hanging="0"/>
              <w:jc w:val="left"/>
              <w:rPr>
                <w:b/>
              </w:rPr>
            </w:pPr>
            <w:r>
              <w:rPr>
                <w:b/>
              </w:rPr>
              <w:t>Solowin Holdings</w:t>
            </w:r>
          </w:p>
        </w:tc>
        <w:tc>
          <w:tcPr>
            <w:tcW w:w="75" w:type="dxa"/>
            <w:tcBorders/>
            <w:vAlign w:val="center"/>
          </w:tcPr>
          <w:p>
            <w:pPr>
              <w:pStyle w:val="TableContents"/>
              <w:bidi w:val="0"/>
              <w:spacing w:before="0" w:after="283"/>
              <w:ind w:left="0" w:right="0" w:hanging="0"/>
              <w:jc w:val="left"/>
              <w:rPr/>
            </w:pPr>
            <w:r>
              <w:rPr/>
              <w:t> </w:t>
            </w:r>
          </w:p>
        </w:tc>
      </w:tr>
      <w:tr>
        <w:trPr/>
        <w:tc>
          <w:tcPr>
            <w:tcW w:w="355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175" w:type="dxa"/>
            <w:gridSpan w:val="2"/>
            <w:tcBorders>
              <w:bottom w:val="single" w:sz="12" w:space="0" w:color="000000"/>
            </w:tcBorders>
            <w:tcMar>
              <w:bottom w:w="30"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525" w:type="dxa"/>
            <w:tcBorders/>
            <w:vAlign w:val="center"/>
          </w:tcPr>
          <w:p>
            <w:pPr>
              <w:pStyle w:val="TableContents"/>
              <w:bidi w:val="0"/>
              <w:spacing w:before="0" w:after="283"/>
              <w:jc w:val="left"/>
              <w:rPr/>
            </w:pPr>
            <w:r>
              <w:rPr/>
              <w:t>Ling Ngai Lok</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525" w:type="dxa"/>
            <w:tcBorders/>
            <w:vAlign w:val="center"/>
          </w:tcPr>
          <w:p>
            <w:pPr>
              <w:pStyle w:val="TableContents"/>
              <w:bidi w:val="0"/>
              <w:spacing w:before="0" w:after="283"/>
              <w:jc w:val="left"/>
              <w:rPr/>
            </w:pPr>
            <w:r>
              <w:rPr/>
              <w:t>Chief Executive Officer    </w:t>
            </w:r>
          </w:p>
        </w:tc>
        <w:tc>
          <w:tcPr>
            <w:tcW w:w="75" w:type="dxa"/>
            <w:tcBorders/>
            <w:vAlign w:val="center"/>
          </w:tcPr>
          <w:p>
            <w:pPr>
              <w:pStyle w:val="TableContents"/>
              <w:bidi w:val="0"/>
              <w:spacing w:before="0" w:after="283"/>
              <w:jc w:val="left"/>
              <w:rPr/>
            </w:pPr>
            <w:r>
              <w:rPr/>
              <w:t> </w:t>
            </w:r>
          </w:p>
        </w:tc>
      </w:tr>
      <w:tr>
        <w:trPr/>
        <w:tc>
          <w:tcPr>
            <w:tcW w:w="355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xml:space="preserve">principal amount of the Note (defined below) into that number of shares of Common Stock to be issued pursuant to the conversion of the Note (“Common Stock”) as set forth below, of </w:t>
      </w:r>
      <w:r>
        <w:rPr>
          <w:rFonts w:ascii="Times New Roman;Times;Serif" w:hAnsi="Times New Roman;Times;Serif"/>
          <w:b/>
          <w:i w:val="false"/>
          <w:caps w:val="false"/>
          <w:smallCaps w:val="false"/>
          <w:sz w:val="20"/>
        </w:rPr>
        <w:t>Solowin Holdings</w:t>
      </w:r>
      <w:r>
        <w:rPr>
          <w:rFonts w:ascii="Times New Roman;Times;Serif" w:hAnsi="Times New Roman;Times;Serif"/>
          <w:b w:val="false"/>
          <w:i w:val="false"/>
          <w:caps w:val="false"/>
          <w:smallCaps w:val="false"/>
          <w:sz w:val="20"/>
        </w:rPr>
        <w:t>, a Cayman Islands company (the “Borrower”), according to the conditions of the promissory note of the Borrower dated as of September 10, 2026 (the “Note”), as of the date written below. No fee will be charged to the Holder for any conversion, except for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Borrower shall electronically transmit the Common Stock issuable pursuant to this Notice of Conversion to the account of the undersigned or its nominee with DTC through its Deposit Withdrawal Agent Commission system (“DWAC Transfer”).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Name of DTC Prime Broker: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Account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8195"/>
        <w:gridCol w:w="1460"/>
        <w:gridCol w:w="75"/>
      </w:tblGrid>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left"/>
              <w:rPr>
                <w:sz w:val="20"/>
              </w:rPr>
            </w:pPr>
            <w:r>
              <w:rPr>
                <w:sz w:val="20"/>
              </w:rPr>
              <w:t>Date of Conversion:</w:t>
            </w:r>
          </w:p>
        </w:tc>
        <w:tc>
          <w:tcPr>
            <w:tcW w:w="14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left"/>
              <w:rPr>
                <w:sz w:val="20"/>
              </w:rPr>
            </w:pPr>
            <w:r>
              <w:rPr>
                <w:sz w:val="20"/>
              </w:rPr>
              <w:t>Applicable Conversion Price:</w:t>
            </w:r>
          </w:p>
        </w:tc>
        <w:tc>
          <w:tcPr>
            <w:tcW w:w="1460" w:type="dxa"/>
            <w:tcBorders/>
            <w:vAlign w:val="center"/>
          </w:tcPr>
          <w:p>
            <w:pPr>
              <w:pStyle w:val="TableContents"/>
              <w:bidi w:val="0"/>
              <w:spacing w:before="0" w:after="283"/>
              <w:jc w:val="left"/>
              <w:rPr>
                <w:sz w:val="20"/>
              </w:rPr>
            </w:pPr>
            <w:r>
              <w:rPr>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left"/>
              <w:rPr/>
            </w:pPr>
            <w:r>
              <w:rPr/>
              <w:t>Number of Shares of Common Stock to be Issued Pursuant to Conversion of the Note:</w:t>
            </w:r>
          </w:p>
        </w:tc>
        <w:tc>
          <w:tcPr>
            <w:tcW w:w="1460" w:type="dxa"/>
            <w:tcBorders/>
            <w:vAlign w:val="center"/>
          </w:tcPr>
          <w:p>
            <w:pPr>
              <w:pStyle w:val="TableContents"/>
              <w:bidi w:val="0"/>
              <w:spacing w:before="0" w:after="283"/>
              <w:jc w:val="left"/>
              <w:rPr/>
            </w:pPr>
            <w:r>
              <w:rPr/>
              <w:t>____________</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180"/>
              <w:jc w:val="left"/>
              <w:rPr/>
            </w:pPr>
            <w:r>
              <w:rPr/>
              <w:t> </w:t>
            </w:r>
          </w:p>
        </w:tc>
        <w:tc>
          <w:tcPr>
            <w:tcW w:w="8195" w:type="dxa"/>
            <w:tcBorders/>
            <w:vAlign w:val="center"/>
          </w:tcPr>
          <w:p>
            <w:pPr>
              <w:pStyle w:val="TableContents"/>
              <w:bidi w:val="0"/>
              <w:spacing w:before="0" w:after="283"/>
              <w:jc w:val="left"/>
              <w:rPr>
                <w:sz w:val="20"/>
              </w:rPr>
            </w:pPr>
            <w:r>
              <w:rPr>
                <w:sz w:val="20"/>
              </w:rPr>
              <w:t>Amount of Principal Balance Due remaining Under the Note after this conversion:</w:t>
            </w:r>
          </w:p>
        </w:tc>
        <w:tc>
          <w:tcPr>
            <w:tcW w:w="1460" w:type="dxa"/>
            <w:tcBorders/>
            <w:vAlign w:val="center"/>
          </w:tcPr>
          <w:p>
            <w:pPr>
              <w:pStyle w:val="TableContents"/>
              <w:bidi w:val="0"/>
              <w:spacing w:before="0" w:after="283"/>
              <w:jc w:val="left"/>
              <w:rPr/>
            </w:pPr>
            <w:r>
              <w:rPr/>
              <w:t>____________</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both"/>
              <w:rPr/>
            </w:pPr>
            <w:r>
              <w:rPr/>
              <w:t>By:</w:t>
            </w:r>
          </w:p>
        </w:tc>
        <w:tc>
          <w:tcPr>
            <w:tcW w:w="60"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both"/>
              <w:rPr/>
            </w:pPr>
            <w:r>
              <w:rPr/>
              <w:t>Name:</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both"/>
              <w:rPr/>
            </w:pPr>
            <w:r>
              <w:rPr/>
              <w:t>Title:</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both"/>
              <w:rPr/>
            </w:pPr>
            <w:r>
              <w:rPr/>
              <w:t>Date:</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696401ex5-1.htm"/>
      <w:bookmarkStart w:id="5" w:name="ksea030696401ex51"/>
      <w:bookmarkEnd w:id="4"/>
      <w:bookmarkEnd w:id="5"/>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4125"/>
        <w:gridCol w:w="3755"/>
      </w:tblGrid>
      <w:tr>
        <w:trPr/>
        <w:tc>
          <w:tcPr>
            <w:tcW w:w="4125" w:type="dxa"/>
            <w:tcBorders/>
            <w:vAlign w:val="center"/>
          </w:tcPr>
          <w:p>
            <w:pPr>
              <w:pStyle w:val="TableContents"/>
              <w:bidi w:val="0"/>
              <w:spacing w:before="0" w:after="283"/>
              <w:jc w:val="left"/>
              <w:rPr/>
            </w:pPr>
            <w:r>
              <w:rPr/>
              <w:drawing>
                <wp:inline distT="0" distB="0" distL="0" distR="0">
                  <wp:extent cx="26098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609850" cy="600075"/>
                          </a:xfrm>
                          <a:prstGeom prst="rect">
                            <a:avLst/>
                          </a:prstGeom>
                        </pic:spPr>
                      </pic:pic>
                    </a:graphicData>
                  </a:graphic>
                </wp:inline>
              </w:drawing>
            </w:r>
          </w:p>
        </w:tc>
        <w:tc>
          <w:tcPr>
            <w:tcW w:w="3755" w:type="dxa"/>
            <w:tcBorders/>
            <w:vAlign w:val="center"/>
          </w:tcPr>
          <w:p>
            <w:pPr>
              <w:pStyle w:val="TableContents"/>
              <w:bidi w:val="0"/>
              <w:spacing w:before="0" w:after="283"/>
              <w:jc w:val="left"/>
              <w:rPr/>
            </w:pPr>
            <w:r>
              <w:rPr>
                <w:b/>
              </w:rPr>
              <w:t>CONYERS DILL &amp; PEARMAN</w:t>
            </w:r>
            <w:r>
              <w:rPr/>
              <w:br/>
              <w:t>29</w:t>
            </w:r>
            <w:r>
              <w:rPr>
                <w:position w:val="8"/>
                <w:sz w:val="19"/>
              </w:rPr>
              <w:t>th</w:t>
            </w:r>
            <w:r>
              <w:rPr/>
              <w:t xml:space="preserve"> Floor</w:t>
              <w:br/>
              <w:t>One Exchange Square</w:t>
              <w:br/>
              <w:t>8 Connaught Place</w:t>
              <w:br/>
              <w:t>Central</w:t>
              <w:br/>
              <w:t>Hong Kong</w:t>
              <w:br/>
              <w:t>T +852 2524 7106 | F +852 2845 9268</w:t>
              <w:br/>
            </w:r>
            <w:r>
              <w:rPr>
                <w:b/>
              </w:rPr>
              <w:t>conyers.com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October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 No.: 1021036/114178653</w:t>
        <w:br/>
        <w:t>852 2842 9530</w:t>
        <w:br/>
        <w:t>Richard.hall@conyers.com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1910-1912A, Tower 3, China Hong Kong City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Canton Road, Tsim Sha Tsui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Kowloon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rPr>
        <w:t>SOLOWIN HOLDINGS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legal counsel in the Cayman Islands to the Company in connection with a registration statement on form F-3 (File No.: 333-282552)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which term does not include any other document or agreement whether or not specifically referred to therein or attached as an exhibit or schedule thereto), to be supplemented by a prospectus supplement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to be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or about the date hereof, in connection with the issue by the Company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certain class A ordinary shares of par value US$0.0001 each of the Company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having an aggregate offering price of up to US$50,000,000 pursuant to the ATM Agreement (as defined below).</w:t>
      </w:r>
    </w:p>
    <w:p>
      <w:pPr>
        <w:pStyle w:val="TextBody"/>
        <w:bidi w:val="0"/>
        <w:spacing w:before="0" w:after="0"/>
        <w:ind w:left="720" w:right="0" w:hanging="720"/>
        <w:jc w:val="both"/>
        <w:rPr>
          <w:caps/>
        </w:rPr>
      </w:pPr>
      <w:r>
        <w:rPr>
          <w:caps/>
        </w:rPr>
        <w:t> </w:t>
      </w:r>
    </w:p>
    <w:tbl>
      <w:tblPr>
        <w:tblW w:w="3115" w:type="dxa"/>
        <w:jc w:val="left"/>
        <w:tblInd w:w="0" w:type="dxa"/>
        <w:tblLayout w:type="fixed"/>
        <w:tblCellMar>
          <w:top w:w="0" w:type="dxa"/>
          <w:left w:w="0" w:type="dxa"/>
          <w:bottom w:w="0" w:type="dxa"/>
          <w:right w:w="0" w:type="dxa"/>
        </w:tblCellMar>
      </w:tblPr>
      <w:tblGrid>
        <w:gridCol w:w="215"/>
        <w:gridCol w:w="2900"/>
      </w:tblGrid>
      <w:tr>
        <w:trPr/>
        <w:tc>
          <w:tcPr>
            <w:tcW w:w="215" w:type="dxa"/>
            <w:tcBorders/>
            <w:vAlign w:val="center"/>
          </w:tcPr>
          <w:p>
            <w:pPr>
              <w:pStyle w:val="TableContents"/>
              <w:bidi w:val="0"/>
              <w:spacing w:before="0" w:after="283"/>
              <w:jc w:val="left"/>
              <w:rPr/>
            </w:pPr>
            <w:r>
              <w:rPr/>
              <w:t>1.</w:t>
            </w:r>
          </w:p>
        </w:tc>
        <w:tc>
          <w:tcPr>
            <w:tcW w:w="2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DOCUMENTS REVIEWED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the following document: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0"/>
        <w:gridCol w:w="9175"/>
      </w:tblGrid>
      <w:tr>
        <w:trPr/>
        <w:tc>
          <w:tcPr>
            <w:tcW w:w="1030" w:type="dxa"/>
            <w:tcBorders/>
            <w:vAlign w:val="center"/>
          </w:tcPr>
          <w:p>
            <w:pPr>
              <w:pStyle w:val="TableContents"/>
              <w:bidi w:val="0"/>
              <w:spacing w:before="0" w:after="283"/>
              <w:jc w:val="left"/>
              <w:rPr/>
            </w:pPr>
            <w:r>
              <w:rPr/>
              <w:t>1.1.</w:t>
            </w:r>
          </w:p>
        </w:tc>
        <w:tc>
          <w:tcPr>
            <w:tcW w:w="9175" w:type="dxa"/>
            <w:tcBorders/>
            <w:vAlign w:val="center"/>
          </w:tcPr>
          <w:p>
            <w:pPr>
              <w:pStyle w:val="TableContents"/>
              <w:bidi w:val="0"/>
              <w:spacing w:before="0" w:after="283"/>
              <w:jc w:val="both"/>
              <w:rPr/>
            </w:pPr>
            <w:r>
              <w:rPr/>
              <w:t>a copy of 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5"/>
        <w:gridCol w:w="9380"/>
      </w:tblGrid>
      <w:tr>
        <w:trPr/>
        <w:tc>
          <w:tcPr>
            <w:tcW w:w="825" w:type="dxa"/>
            <w:tcBorders/>
            <w:vAlign w:val="center"/>
          </w:tcPr>
          <w:p>
            <w:pPr>
              <w:pStyle w:val="TableContents"/>
              <w:bidi w:val="0"/>
              <w:spacing w:before="0" w:after="283"/>
              <w:jc w:val="left"/>
              <w:rPr/>
            </w:pPr>
            <w:r>
              <w:rPr/>
              <w:t>1.2.</w:t>
            </w:r>
          </w:p>
        </w:tc>
        <w:tc>
          <w:tcPr>
            <w:tcW w:w="9380" w:type="dxa"/>
            <w:tcBorders/>
            <w:vAlign w:val="center"/>
          </w:tcPr>
          <w:p>
            <w:pPr>
              <w:pStyle w:val="TableContents"/>
              <w:bidi w:val="0"/>
              <w:spacing w:before="0" w:after="283"/>
              <w:jc w:val="both"/>
              <w:rPr/>
            </w:pPr>
            <w:r>
              <w:rPr/>
              <w:t>a copy of the draft Prospectus Supplement;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1.3.</w:t>
            </w:r>
          </w:p>
        </w:tc>
        <w:tc>
          <w:tcPr>
            <w:tcW w:w="9842" w:type="dxa"/>
            <w:tcBorders/>
            <w:vAlign w:val="center"/>
          </w:tcPr>
          <w:p>
            <w:pPr>
              <w:pStyle w:val="TableContents"/>
              <w:bidi w:val="0"/>
              <w:spacing w:before="0" w:after="283"/>
              <w:jc w:val="both"/>
              <w:rPr/>
            </w:pPr>
            <w:r>
              <w:rPr/>
              <w:t>a copy of the at the market agreement dated 22 October 2026 by and between Chaince Securities, LLC as sales agent and the Company setting forth the terms of Offering (the “</w:t>
            </w:r>
            <w:r>
              <w:rPr>
                <w:b/>
              </w:rPr>
              <w:t>ATM Agreement</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 listed in items 1.1 to 1.3 above are herein sometimes referred to as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(which term does not include any other instrument or agreement whether or not specifically referred to therein or attached as an exhibit or schedule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Partners: Piers J. Alexander, Crystal C. Au-Yeung, Christopher W. H. Bickley, Beverly Y. Cheung, Anna W. T. Chong, Angie Y. Y. Chu, Alexander T. Doyle, Vivien C. S. Fung, Richard J. Hall, Norman Hau, Wynne Lau, Ryan A. McConvey, Teresa F. Tsai, Flora K. Y. Wong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Consultant: David M. Lamb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18"/>
        </w:rPr>
      </w:pPr>
      <w:r>
        <w:rPr>
          <w:rFonts w:ascii="Times New Roman;Times;Serif" w:hAnsi="Times New Roman;Times;Serif"/>
          <w:b/>
          <w:i w:val="false"/>
          <w:caps/>
          <w:sz w:val="18"/>
        </w:rPr>
        <w:t>BERMUDA | BRITISH VIRGIN ISLANDS | CAYMAN ISLANDS</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reviewed copies of:</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pPr>
            <w:r>
              <w:rPr/>
              <w:t>1.4.</w:t>
            </w:r>
          </w:p>
        </w:tc>
        <w:tc>
          <w:tcPr>
            <w:tcW w:w="9830" w:type="dxa"/>
            <w:tcBorders/>
            <w:vAlign w:val="center"/>
          </w:tcPr>
          <w:p>
            <w:pPr>
              <w:pStyle w:val="TableContents"/>
              <w:bidi w:val="0"/>
              <w:spacing w:before="0" w:after="283"/>
              <w:jc w:val="both"/>
              <w:rPr/>
            </w:pPr>
            <w:r>
              <w:rPr/>
              <w:t>a copy of the Memorandum and Articles of Association of the Company, each certified by the secretary of the Company on 21 September 2026;</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1.5.</w:t>
            </w:r>
          </w:p>
        </w:tc>
        <w:tc>
          <w:tcPr>
            <w:tcW w:w="9819" w:type="dxa"/>
            <w:tcBorders/>
            <w:vAlign w:val="center"/>
          </w:tcPr>
          <w:p>
            <w:pPr>
              <w:pStyle w:val="TableContents"/>
              <w:bidi w:val="0"/>
              <w:spacing w:before="0" w:after="283"/>
              <w:jc w:val="both"/>
              <w:rPr/>
            </w:pPr>
            <w:r>
              <w:rPr/>
              <w:t>resolutions in writing signed by all the directors of the Company and dated 28 September 2026 (the “</w:t>
            </w:r>
            <w:r>
              <w:rPr>
                <w:rFonts w:ascii="Times New Roman;Times;Serif" w:hAnsi="Times New Roman;Times;Serif"/>
                <w:b/>
              </w:rPr>
              <w:t>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1.6.</w:t>
            </w:r>
          </w:p>
        </w:tc>
        <w:tc>
          <w:tcPr>
            <w:tcW w:w="9831" w:type="dxa"/>
            <w:tcBorders/>
            <w:vAlign w:val="center"/>
          </w:tcPr>
          <w:p>
            <w:pPr>
              <w:pStyle w:val="TableContents"/>
              <w:bidi w:val="0"/>
              <w:spacing w:before="0" w:after="283"/>
              <w:jc w:val="both"/>
              <w:rPr/>
            </w:pPr>
            <w:r>
              <w:rPr/>
              <w:t>a certificate of good standing issued by the Registry of Companies of the Cayman Islands and dated 28 September 2026 (the “</w:t>
            </w:r>
            <w:r>
              <w:rPr>
                <w:b/>
              </w:rPr>
              <w:t>Certificate Date</w:t>
            </w:r>
            <w:r>
              <w:rPr/>
              <w:t>”);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pPr>
            <w:r>
              <w:rPr/>
              <w:t>1.7.</w:t>
            </w:r>
          </w:p>
        </w:tc>
        <w:tc>
          <w:tcPr>
            <w:tcW w:w="9830" w:type="dxa"/>
            <w:tcBorders/>
            <w:vAlign w:val="center"/>
          </w:tcPr>
          <w:p>
            <w:pPr>
              <w:pStyle w:val="TableContents"/>
              <w:bidi w:val="0"/>
              <w:spacing w:before="0" w:after="283"/>
              <w:jc w:val="both"/>
              <w:rPr/>
            </w:pPr>
            <w:r>
              <w:rPr/>
              <w:t>such other documents and made such enquiries as to questions of law as we have deemed necessary in order to render the opinion set forth below.</w:t>
            </w:r>
          </w:p>
        </w:tc>
      </w:tr>
    </w:tbl>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1128"/>
        <w:gridCol w:w="9077"/>
      </w:tblGrid>
      <w:tr>
        <w:trPr/>
        <w:tc>
          <w:tcPr>
            <w:tcW w:w="1128" w:type="dxa"/>
            <w:tcBorders/>
            <w:vAlign w:val="center"/>
          </w:tcPr>
          <w:p>
            <w:pPr>
              <w:pStyle w:val="TableContents"/>
              <w:bidi w:val="0"/>
              <w:spacing w:before="0" w:after="283"/>
              <w:jc w:val="left"/>
              <w:rPr/>
            </w:pPr>
            <w:r>
              <w:rPr/>
              <w:t>2.</w:t>
            </w:r>
          </w:p>
        </w:tc>
        <w:tc>
          <w:tcPr>
            <w:tcW w:w="90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2.1.</w:t>
            </w:r>
          </w:p>
        </w:tc>
        <w:tc>
          <w:tcPr>
            <w:tcW w:w="9846" w:type="dxa"/>
            <w:tcBorders/>
            <w:vAlign w:val="center"/>
          </w:tcPr>
          <w:p>
            <w:pPr>
              <w:pStyle w:val="TableContents"/>
              <w:bidi w:val="0"/>
              <w:spacing w:before="0" w:after="283"/>
              <w:jc w:val="both"/>
              <w:rPr/>
            </w:pPr>
            <w:r>
              <w:rPr/>
              <w:t>the genuineness and authenticity of all signatures and the conformity to the originals of all copies (whether or not certified) examined by us and the authenticity and completeness of the originals from which such copies were taken;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2.2.</w:t>
            </w:r>
          </w:p>
        </w:tc>
        <w:tc>
          <w:tcPr>
            <w:tcW w:w="9849" w:type="dxa"/>
            <w:tcBorders/>
            <w:vAlign w:val="center"/>
          </w:tcPr>
          <w:p>
            <w:pPr>
              <w:pStyle w:val="TableContents"/>
              <w:bidi w:val="0"/>
              <w:spacing w:before="0" w:after="283"/>
              <w:jc w:val="both"/>
              <w:rPr/>
            </w:pPr>
            <w:r>
              <w:rPr/>
              <w:t>that where a document has been examined by us in draft form, it will be or has been executed in the form of that draft, and where a number of drafts of a document have been examined by us all changes thereto have been marked or otherwise drawn to our attention;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2.3.</w:t>
            </w:r>
          </w:p>
        </w:tc>
        <w:tc>
          <w:tcPr>
            <w:tcW w:w="9840" w:type="dxa"/>
            <w:tcBorders/>
            <w:vAlign w:val="center"/>
          </w:tcPr>
          <w:p>
            <w:pPr>
              <w:pStyle w:val="TableContents"/>
              <w:bidi w:val="0"/>
              <w:spacing w:before="0" w:after="283"/>
              <w:jc w:val="both"/>
              <w:rPr/>
            </w:pPr>
            <w:r>
              <w:rPr/>
              <w:t>the capacity, power and authority of each of the parties to the ATM Agreement, other than the Company, to enter into and perform its respective obligations under the ATM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2.4.</w:t>
            </w:r>
          </w:p>
        </w:tc>
        <w:tc>
          <w:tcPr>
            <w:tcW w:w="9842" w:type="dxa"/>
            <w:tcBorders/>
            <w:vAlign w:val="center"/>
          </w:tcPr>
          <w:p>
            <w:pPr>
              <w:pStyle w:val="TableContents"/>
              <w:bidi w:val="0"/>
              <w:spacing w:before="0" w:after="283"/>
              <w:jc w:val="both"/>
              <w:rPr/>
            </w:pPr>
            <w:r>
              <w:rPr/>
              <w:t>the due execution and delivery of the ATM Agreement by each of the parties thereto, other than the Company, and the physical delivery thereof by the Company with an intention to be bound thereby;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2.5.</w:t>
            </w:r>
          </w:p>
        </w:tc>
        <w:tc>
          <w:tcPr>
            <w:tcW w:w="9835" w:type="dxa"/>
            <w:tcBorders/>
            <w:vAlign w:val="center"/>
          </w:tcPr>
          <w:p>
            <w:pPr>
              <w:pStyle w:val="TableContents"/>
              <w:bidi w:val="0"/>
              <w:spacing w:before="0" w:after="283"/>
              <w:jc w:val="both"/>
              <w:rPr/>
            </w:pPr>
            <w:r>
              <w:rPr/>
              <w:t>the accuracy and completeness of all factual representations made in the Registration Statement, the Prospectus Supplement and other documents reviewed by us;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2.6.</w:t>
            </w:r>
          </w:p>
        </w:tc>
        <w:tc>
          <w:tcPr>
            <w:tcW w:w="9843" w:type="dxa"/>
            <w:tcBorders/>
            <w:vAlign w:val="center"/>
          </w:tcPr>
          <w:p>
            <w:pPr>
              <w:pStyle w:val="TableContents"/>
              <w:bidi w:val="0"/>
              <w:spacing w:before="0" w:after="283"/>
              <w:jc w:val="both"/>
              <w:rPr/>
            </w:pPr>
            <w:r>
              <w:rPr/>
              <w:t>that the Resolutions were passed at one or more duly convened, constituted and quorate meetings or by unanimous written resolutions, remain in full force and effect and have not been rescinded or amended;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2.7.</w:t>
            </w:r>
          </w:p>
        </w:tc>
        <w:tc>
          <w:tcPr>
            <w:tcW w:w="9836" w:type="dxa"/>
            <w:tcBorders/>
            <w:vAlign w:val="center"/>
          </w:tcPr>
          <w:p>
            <w:pPr>
              <w:pStyle w:val="TableContents"/>
              <w:bidi w:val="0"/>
              <w:spacing w:before="0" w:after="283"/>
              <w:jc w:val="both"/>
              <w:rPr/>
            </w:pPr>
            <w:r>
              <w:rPr/>
              <w:t>that there is no provision of the law of any jurisdiction, other than the Cayman Islands, which would have any implication in relation to the opinions expressed herein;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2</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2.8.</w:t>
            </w:r>
          </w:p>
        </w:tc>
        <w:tc>
          <w:tcPr>
            <w:tcW w:w="9842" w:type="dxa"/>
            <w:tcBorders/>
            <w:vAlign w:val="center"/>
          </w:tcPr>
          <w:p>
            <w:pPr>
              <w:pStyle w:val="TableContents"/>
              <w:bidi w:val="0"/>
              <w:spacing w:before="0" w:after="283"/>
              <w:jc w:val="both"/>
              <w:rPr/>
            </w:pPr>
            <w:r>
              <w:rPr/>
              <w:t>that on the date of allotment (where applicable) and issuance of any Class A Ordinary Shares the Company is, and after any such allotment and issuance the Company is and will be able to, pay its debts;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2.9.</w:t>
            </w:r>
          </w:p>
        </w:tc>
        <w:tc>
          <w:tcPr>
            <w:tcW w:w="9836" w:type="dxa"/>
            <w:tcBorders/>
            <w:vAlign w:val="center"/>
          </w:tcPr>
          <w:p>
            <w:pPr>
              <w:pStyle w:val="TableContents"/>
              <w:bidi w:val="0"/>
              <w:spacing w:before="0" w:after="283"/>
              <w:jc w:val="both"/>
              <w:rPr/>
            </w:pPr>
            <w:r>
              <w:rPr/>
              <w:t>that neither the Company nor any of its shareholders is a sovereign entity of any state and none of them is a subsidiary direct or indirect of any sovereign entity or state;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r>
              <w:rPr/>
              <w:t>2.10.</w:t>
            </w:r>
          </w:p>
        </w:tc>
        <w:tc>
          <w:tcPr>
            <w:tcW w:w="9705" w:type="dxa"/>
            <w:tcBorders/>
            <w:vAlign w:val="center"/>
          </w:tcPr>
          <w:p>
            <w:pPr>
              <w:pStyle w:val="TableContents"/>
              <w:bidi w:val="0"/>
              <w:spacing w:before="0" w:after="283"/>
              <w:jc w:val="both"/>
              <w:rPr/>
            </w:pPr>
            <w:r>
              <w:rPr/>
              <w:t>that the Company will issue the Class A Ordinary Shares in furtherance of its objects as set out in its memorandum of association;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3"/>
        <w:gridCol w:w="9712"/>
      </w:tblGrid>
      <w:tr>
        <w:trPr/>
        <w:tc>
          <w:tcPr>
            <w:tcW w:w="493" w:type="dxa"/>
            <w:tcBorders/>
            <w:vAlign w:val="center"/>
          </w:tcPr>
          <w:p>
            <w:pPr>
              <w:pStyle w:val="TableContents"/>
              <w:bidi w:val="0"/>
              <w:spacing w:before="0" w:after="283"/>
              <w:jc w:val="left"/>
              <w:rPr/>
            </w:pPr>
            <w:r>
              <w:rPr/>
              <w:t>2.11.</w:t>
            </w:r>
          </w:p>
        </w:tc>
        <w:tc>
          <w:tcPr>
            <w:tcW w:w="9712" w:type="dxa"/>
            <w:tcBorders/>
            <w:vAlign w:val="center"/>
          </w:tcPr>
          <w:p>
            <w:pPr>
              <w:pStyle w:val="TableContents"/>
              <w:bidi w:val="0"/>
              <w:spacing w:before="0" w:after="283"/>
              <w:jc w:val="both"/>
              <w:rPr/>
            </w:pPr>
            <w:r>
              <w:rPr/>
              <w:t>that the memorandum and articles of association of the Company will not be amended in any manner that would affect the opinions expressed herein;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2.12.</w:t>
            </w:r>
          </w:p>
        </w:tc>
        <w:tc>
          <w:tcPr>
            <w:tcW w:w="9720" w:type="dxa"/>
            <w:tcBorders/>
            <w:vAlign w:val="center"/>
          </w:tcPr>
          <w:p>
            <w:pPr>
              <w:pStyle w:val="TableContents"/>
              <w:bidi w:val="0"/>
              <w:spacing w:before="0" w:after="283"/>
              <w:jc w:val="both"/>
              <w:rPr/>
            </w:pPr>
            <w:r>
              <w:rPr/>
              <w:t>that the Company will have sufficient authorised shares available to issue under its memorandum of association to effect the issue of any Class A Ordinary Shares at the time of issuance;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8"/>
        <w:gridCol w:w="9487"/>
      </w:tblGrid>
      <w:tr>
        <w:trPr/>
        <w:tc>
          <w:tcPr>
            <w:tcW w:w="718" w:type="dxa"/>
            <w:tcBorders/>
            <w:vAlign w:val="center"/>
          </w:tcPr>
          <w:p>
            <w:pPr>
              <w:pStyle w:val="TableContents"/>
              <w:bidi w:val="0"/>
              <w:spacing w:before="0" w:after="283"/>
              <w:jc w:val="left"/>
              <w:rPr/>
            </w:pPr>
            <w:r>
              <w:rPr/>
              <w:t>2.13.</w:t>
            </w:r>
          </w:p>
        </w:tc>
        <w:tc>
          <w:tcPr>
            <w:tcW w:w="9487" w:type="dxa"/>
            <w:tcBorders/>
            <w:vAlign w:val="center"/>
          </w:tcPr>
          <w:p>
            <w:pPr>
              <w:pStyle w:val="TableContents"/>
              <w:bidi w:val="0"/>
              <w:spacing w:before="0" w:after="283"/>
              <w:jc w:val="both"/>
              <w:rPr/>
            </w:pPr>
            <w:r>
              <w:rPr/>
              <w:t>the Company has not taken any action to appoint a restructuring officer;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2"/>
        <w:gridCol w:w="9723"/>
      </w:tblGrid>
      <w:tr>
        <w:trPr/>
        <w:tc>
          <w:tcPr>
            <w:tcW w:w="482" w:type="dxa"/>
            <w:tcBorders/>
            <w:vAlign w:val="center"/>
          </w:tcPr>
          <w:p>
            <w:pPr>
              <w:pStyle w:val="TableContents"/>
              <w:bidi w:val="0"/>
              <w:spacing w:before="0" w:after="283"/>
              <w:jc w:val="left"/>
              <w:rPr/>
            </w:pPr>
            <w:r>
              <w:rPr/>
              <w:t>2.14.</w:t>
            </w:r>
          </w:p>
        </w:tc>
        <w:tc>
          <w:tcPr>
            <w:tcW w:w="9723" w:type="dxa"/>
            <w:tcBorders/>
            <w:vAlign w:val="center"/>
          </w:tcPr>
          <w:p>
            <w:pPr>
              <w:pStyle w:val="TableContents"/>
              <w:bidi w:val="0"/>
              <w:spacing w:before="0" w:after="283"/>
              <w:jc w:val="both"/>
              <w:rPr/>
            </w:pPr>
            <w:r>
              <w:rPr/>
              <w:t>the validity and binding effect under the laws of the State of New York (the “</w:t>
            </w:r>
            <w:r>
              <w:rPr>
                <w:b/>
              </w:rPr>
              <w:t>Foreign Laws</w:t>
            </w:r>
            <w:r>
              <w:rPr/>
              <w:t>”) of the ATM Agreement which is expressed to be governed by such Foreign Laws in accordance with its terms;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1"/>
        <w:gridCol w:w="9714"/>
      </w:tblGrid>
      <w:tr>
        <w:trPr/>
        <w:tc>
          <w:tcPr>
            <w:tcW w:w="491" w:type="dxa"/>
            <w:tcBorders/>
            <w:vAlign w:val="center"/>
          </w:tcPr>
          <w:p>
            <w:pPr>
              <w:pStyle w:val="TableContents"/>
              <w:bidi w:val="0"/>
              <w:spacing w:before="0" w:after="283"/>
              <w:jc w:val="left"/>
              <w:rPr/>
            </w:pPr>
            <w:r>
              <w:rPr/>
              <w:t>2.15.</w:t>
            </w:r>
          </w:p>
        </w:tc>
        <w:tc>
          <w:tcPr>
            <w:tcW w:w="9714" w:type="dxa"/>
            <w:tcBorders/>
            <w:vAlign w:val="center"/>
          </w:tcPr>
          <w:p>
            <w:pPr>
              <w:pStyle w:val="TableContents"/>
              <w:bidi w:val="0"/>
              <w:spacing w:before="0" w:after="283"/>
              <w:jc w:val="both"/>
              <w:rPr/>
            </w:pPr>
            <w:r>
              <w:rPr/>
              <w:t>that no invitation has been or will be made by or on behalf of the Company to the public in the Cayman Islands to subscribe for any Class A Ordinary Shares;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7"/>
        <w:gridCol w:w="9728"/>
      </w:tblGrid>
      <w:tr>
        <w:trPr/>
        <w:tc>
          <w:tcPr>
            <w:tcW w:w="477" w:type="dxa"/>
            <w:tcBorders/>
            <w:vAlign w:val="center"/>
          </w:tcPr>
          <w:p>
            <w:pPr>
              <w:pStyle w:val="TableContents"/>
              <w:bidi w:val="0"/>
              <w:spacing w:before="0" w:after="283"/>
              <w:jc w:val="left"/>
              <w:rPr/>
            </w:pPr>
            <w:r>
              <w:rPr/>
              <w:t>2.16.</w:t>
            </w:r>
          </w:p>
        </w:tc>
        <w:tc>
          <w:tcPr>
            <w:tcW w:w="9728" w:type="dxa"/>
            <w:tcBorders/>
            <w:vAlign w:val="center"/>
          </w:tcPr>
          <w:p>
            <w:pPr>
              <w:pStyle w:val="TableContents"/>
              <w:bidi w:val="0"/>
              <w:spacing w:before="0" w:after="283"/>
              <w:jc w:val="both"/>
              <w:rPr/>
            </w:pPr>
            <w:r>
              <w:rPr/>
              <w:t>that the issuance and sale of and payment for the Class A Ordinary Shares will be in accordance with the ATM Agreement duly approved by the board of directors of the Company, the Registration Statement and the Prospectus Supplement;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2"/>
        <w:gridCol w:w="9733"/>
      </w:tblGrid>
      <w:tr>
        <w:trPr/>
        <w:tc>
          <w:tcPr>
            <w:tcW w:w="472" w:type="dxa"/>
            <w:tcBorders/>
            <w:vAlign w:val="center"/>
          </w:tcPr>
          <w:p>
            <w:pPr>
              <w:pStyle w:val="TableContents"/>
              <w:bidi w:val="0"/>
              <w:spacing w:before="0" w:after="283"/>
              <w:jc w:val="left"/>
              <w:rPr/>
            </w:pPr>
            <w:r>
              <w:rPr/>
              <w:t>2.17.</w:t>
            </w:r>
          </w:p>
        </w:tc>
        <w:tc>
          <w:tcPr>
            <w:tcW w:w="9733" w:type="dxa"/>
            <w:tcBorders/>
            <w:vAlign w:val="center"/>
          </w:tcPr>
          <w:p>
            <w:pPr>
              <w:pStyle w:val="TableContents"/>
              <w:bidi w:val="0"/>
              <w:spacing w:before="0" w:after="283"/>
              <w:jc w:val="both"/>
              <w:rPr/>
            </w:pPr>
            <w:r>
              <w:rPr/>
              <w:t>that there is no contractual or other prohibition or restriction (other than as arising under Cayman Islands law) binding on the Company prohibiting or restricting it from entering into and performing its obligations under the Registration Statement, the Prospectus Supplement and the ATM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6"/>
        <w:gridCol w:w="9719"/>
      </w:tblGrid>
      <w:tr>
        <w:trPr/>
        <w:tc>
          <w:tcPr>
            <w:tcW w:w="486" w:type="dxa"/>
            <w:tcBorders/>
            <w:vAlign w:val="center"/>
          </w:tcPr>
          <w:p>
            <w:pPr>
              <w:pStyle w:val="TableContents"/>
              <w:bidi w:val="0"/>
              <w:spacing w:before="0" w:after="283"/>
              <w:jc w:val="left"/>
              <w:rPr/>
            </w:pPr>
            <w:r>
              <w:rPr/>
              <w:t>2.18.</w:t>
            </w:r>
          </w:p>
        </w:tc>
        <w:tc>
          <w:tcPr>
            <w:tcW w:w="9719" w:type="dxa"/>
            <w:tcBorders/>
            <w:vAlign w:val="center"/>
          </w:tcPr>
          <w:p>
            <w:pPr>
              <w:pStyle w:val="TableContents"/>
              <w:bidi w:val="0"/>
              <w:spacing w:before="0" w:after="283"/>
              <w:jc w:val="both"/>
              <w:rPr/>
            </w:pPr>
            <w:r>
              <w:rPr/>
              <w:t>that, upon the issue of any Class A Ordinary Shares, the Company will receive consideration for the full issue price thereof which shall be equal to at least the par value thereof;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4"/>
        <w:gridCol w:w="9731"/>
      </w:tblGrid>
      <w:tr>
        <w:trPr/>
        <w:tc>
          <w:tcPr>
            <w:tcW w:w="474" w:type="dxa"/>
            <w:tcBorders/>
            <w:vAlign w:val="center"/>
          </w:tcPr>
          <w:p>
            <w:pPr>
              <w:pStyle w:val="TableContents"/>
              <w:bidi w:val="0"/>
              <w:spacing w:before="0" w:after="283"/>
              <w:jc w:val="left"/>
              <w:rPr/>
            </w:pPr>
            <w:r>
              <w:rPr/>
              <w:t>2.19.</w:t>
            </w:r>
          </w:p>
        </w:tc>
        <w:tc>
          <w:tcPr>
            <w:tcW w:w="9731" w:type="dxa"/>
            <w:tcBorders/>
            <w:vAlign w:val="center"/>
          </w:tcPr>
          <w:p>
            <w:pPr>
              <w:pStyle w:val="TableContents"/>
              <w:bidi w:val="0"/>
              <w:spacing w:before="0" w:after="283"/>
              <w:jc w:val="both"/>
              <w:rPr/>
            </w:pPr>
            <w:r>
              <w:rPr/>
              <w:t>the validity and binding effect under the laws of the United States of America of the Registration Statement and the Prospectus Supplement, and that the Registration Statement and the Prospectus Supplement will be duly filed with and/or declared effective by the Commission.</w:t>
            </w:r>
          </w:p>
        </w:tc>
      </w:tr>
    </w:tbl>
    <w:p>
      <w:pPr>
        <w:pStyle w:val="TextBody"/>
        <w:bidi w:val="0"/>
        <w:spacing w:before="0" w:after="0"/>
        <w:ind w:left="720" w:right="0" w:hanging="720"/>
        <w:jc w:val="both"/>
        <w:rPr>
          <w:caps/>
        </w:rPr>
      </w:pPr>
      <w:r>
        <w:rPr>
          <w:caps/>
        </w:rPr>
        <w:t> </w:t>
      </w:r>
    </w:p>
    <w:p>
      <w:pPr>
        <w:pStyle w:val="TextBody"/>
        <w:bidi w:val="0"/>
        <w:spacing w:before="0" w:after="0"/>
        <w:ind w:left="720" w:right="0" w:hanging="72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3</w:t>
      </w:r>
    </w:p>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957"/>
        <w:gridCol w:w="9248"/>
      </w:tblGrid>
      <w:tr>
        <w:trPr/>
        <w:tc>
          <w:tcPr>
            <w:tcW w:w="957" w:type="dxa"/>
            <w:tcBorders/>
            <w:vAlign w:val="center"/>
          </w:tcPr>
          <w:p>
            <w:pPr>
              <w:pStyle w:val="TableContents"/>
              <w:bidi w:val="0"/>
              <w:spacing w:before="0" w:after="283"/>
              <w:jc w:val="left"/>
              <w:rPr/>
            </w:pPr>
            <w:r>
              <w:rPr/>
              <w:t>3.</w:t>
            </w:r>
          </w:p>
        </w:tc>
        <w:tc>
          <w:tcPr>
            <w:tcW w:w="92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QUALIFICATIONS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3.1.</w:t>
            </w:r>
          </w:p>
        </w:tc>
        <w:tc>
          <w:tcPr>
            <w:tcW w:w="9817" w:type="dxa"/>
            <w:tcBorders/>
            <w:vAlign w:val="center"/>
          </w:tcPr>
          <w:p>
            <w:pPr>
              <w:pStyle w:val="TableContents"/>
              <w:bidi w:val="0"/>
              <w:spacing w:before="0" w:after="283"/>
              <w:jc w:val="both"/>
              <w:rPr/>
            </w:pPr>
            <w:r>
              <w:rPr/>
              <w:t>The obligations of the Company in connection with any offer, issuance and sale of any Class A Ordinary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will be subject to the laws from time to time in effect relating to bankruptcy, insolvency, liquidation, possessory liens, rights of set off, reorganisation, amalgamation, merger, consolidation, moratorium, bribery, corruption, money laundering, terrorist financing, proliferation financing or any other laws or legal procedures, whether of a similar nature or otherwise, generally affecting the rights of creditors as well as applicable international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0"/>
        <w:gridCol w:w="9832"/>
      </w:tblGrid>
      <w:tr>
        <w:trPr/>
        <w:tc>
          <w:tcPr>
            <w:tcW w:w="4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(b)</w:t>
            </w:r>
          </w:p>
        </w:tc>
        <w:tc>
          <w:tcPr>
            <w:tcW w:w="9832" w:type="dxa"/>
            <w:tcBorders/>
            <w:vAlign w:val="center"/>
          </w:tcPr>
          <w:p>
            <w:pPr>
              <w:pStyle w:val="TableContents"/>
              <w:bidi w:val="0"/>
              <w:spacing w:before="0" w:after="283"/>
              <w:jc w:val="both"/>
              <w:rPr/>
            </w:pPr>
            <w:r>
              <w:rPr/>
              <w:t>will be subject to statutory limitation of the time within which proceedings may be brought;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18" w:type="dxa"/>
            <w:tcBorders/>
            <w:vAlign w:val="center"/>
          </w:tcPr>
          <w:p>
            <w:pPr>
              <w:pStyle w:val="TableContents"/>
              <w:bidi w:val="0"/>
              <w:spacing w:before="0" w:after="283"/>
              <w:jc w:val="both"/>
              <w:rPr/>
            </w:pPr>
            <w:r>
              <w:rPr/>
              <w:t>will be subject to general principles of equity and, as such, specific performance and injunctive relief, being equitable remedies, may not be available;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(d)</w:t>
            </w:r>
          </w:p>
        </w:tc>
        <w:tc>
          <w:tcPr>
            <w:tcW w:w="9916" w:type="dxa"/>
            <w:tcBorders/>
            <w:vAlign w:val="center"/>
          </w:tcPr>
          <w:p>
            <w:pPr>
              <w:pStyle w:val="TableContents"/>
              <w:bidi w:val="0"/>
              <w:spacing w:before="0" w:after="283"/>
              <w:jc w:val="both"/>
              <w:rPr/>
            </w:pPr>
            <w:r>
              <w:rPr/>
              <w:t>may not be given effect to by a Cayman Islands court, whether or not it was applying the Foreign Laws, if and to the extent they constitute the payment of an amount which is in the nature of a penalty;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(e)</w:t>
            </w:r>
          </w:p>
        </w:tc>
        <w:tc>
          <w:tcPr>
            <w:tcW w:w="9934" w:type="dxa"/>
            <w:tcBorders/>
            <w:vAlign w:val="center"/>
          </w:tcPr>
          <w:p>
            <w:pPr>
              <w:pStyle w:val="TableContents"/>
              <w:bidi w:val="0"/>
              <w:spacing w:before="0" w:after="283"/>
              <w:jc w:val="both"/>
              <w:rPr/>
            </w:pPr>
            <w:r>
              <w:rPr/>
              <w:t>in the case of the ATM Agreement, may be subject to the Common Law rules that damages against the Company are only available where the purchaser of such Class A Ordinary Shares rescinds such agreement;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7" w:type="dxa"/>
            <w:tcBorders/>
            <w:vAlign w:val="center"/>
          </w:tcPr>
          <w:p>
            <w:pPr>
              <w:pStyle w:val="TableContents"/>
              <w:bidi w:val="0"/>
              <w:spacing w:before="0" w:after="283"/>
              <w:jc w:val="both"/>
              <w:rPr/>
            </w:pPr>
            <w:r>
              <w:rPr/>
              <w:t>may not be given effect by a Cayman Islands court to the extent that they are to be performed in a jurisdiction outside the Cayman Islands and such performance would be illegal under the laws of that jurisdiction. Notwithstanding any contractual submission to the exclusive or non-exclusive jurisdiction of specific courts, a Cayman Islands court has inherent discretion to stay or allow proceedings in the Cayman Islands against the Company under the Documents if there are other proceedings in respect of the Documents simultaneously underway against the Company in another jurisdiction.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pPr>
            <w:r>
              <w:rPr/>
              <w:t>3.2.</w:t>
            </w:r>
          </w:p>
        </w:tc>
        <w:tc>
          <w:tcPr>
            <w:tcW w:w="9850" w:type="dxa"/>
            <w:tcBorders/>
            <w:vAlign w:val="center"/>
          </w:tcPr>
          <w:p>
            <w:pPr>
              <w:pStyle w:val="TableContents"/>
              <w:bidi w:val="0"/>
              <w:spacing w:before="0" w:after="283"/>
              <w:jc w:val="both"/>
              <w:rPr/>
            </w:pPr>
            <w:r>
              <w:rPr/>
              <w:t>We express no opinion as to the enforceability of any provision of the Documents which provides for the payment of a specified rate of interest on the amount of a judgment after the date of judgment or which purports to fetter the statutory powers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pPr>
            <w:r>
              <w:rPr/>
              <w:t>3.3.</w:t>
            </w:r>
          </w:p>
        </w:tc>
        <w:tc>
          <w:tcPr>
            <w:tcW w:w="9850" w:type="dxa"/>
            <w:tcBorders/>
            <w:vAlign w:val="center"/>
          </w:tcPr>
          <w:p>
            <w:pPr>
              <w:pStyle w:val="TableContents"/>
              <w:bidi w:val="0"/>
              <w:spacing w:before="0" w:after="283"/>
              <w:jc w:val="both"/>
              <w:rPr/>
            </w:pPr>
            <w:r>
              <w:rPr/>
              <w:t>We express no opinion with respect to the issuance of Class A Ordinary Shares pursuant to any provision of the Documents that purports to obligate the Company to issue Class A Ordinary Shares following the commencement of a winding up or liquidation.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4</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pPr>
            <w:r>
              <w:rPr/>
              <w:t>3.4.</w:t>
            </w:r>
          </w:p>
        </w:tc>
        <w:tc>
          <w:tcPr>
            <w:tcW w:w="9862" w:type="dxa"/>
            <w:tcBorders/>
            <w:vAlign w:val="center"/>
          </w:tcPr>
          <w:p>
            <w:pPr>
              <w:pStyle w:val="TableContents"/>
              <w:bidi w:val="0"/>
              <w:spacing w:before="0" w:after="283"/>
              <w:jc w:val="both"/>
              <w:rPr/>
            </w:pPr>
            <w:r>
              <w:rPr/>
              <w:t>We have made no investigation of and express no opinion in relation to the laws of any jurisdiction other than the Cayman Islands. This opinion is to be governed by and construed in accordance with the laws of the Cayman Islands and is limited to and is given on the basis of the current law and practice in the Cayman Islands. This opinion is issued solely for the purposes of the filing of the Prospectus Supplement and the issuance of the Class A Ordinary Shares by the Company under the ATM Agreement and is not to be relied upon in respect of any other matter.</w:t>
            </w:r>
          </w:p>
        </w:tc>
      </w:tr>
    </w:tbl>
    <w:p>
      <w:pPr>
        <w:pStyle w:val="TextBody"/>
        <w:bidi w:val="0"/>
        <w:spacing w:before="0" w:after="0"/>
        <w:ind w:left="720" w:right="0" w:hanging="720"/>
        <w:jc w:val="both"/>
        <w:rPr>
          <w:caps/>
        </w:rPr>
      </w:pPr>
      <w:r>
        <w:rPr>
          <w:caps/>
        </w:rPr>
        <w:t> </w:t>
      </w:r>
    </w:p>
    <w:tbl>
      <w:tblPr>
        <w:tblW w:w="5000" w:type="pct"/>
        <w:jc w:val="left"/>
        <w:tblInd w:w="0" w:type="dxa"/>
        <w:tblLayout w:type="fixed"/>
        <w:tblCellMar>
          <w:top w:w="0" w:type="dxa"/>
          <w:left w:w="0" w:type="dxa"/>
          <w:bottom w:w="0" w:type="dxa"/>
          <w:right w:w="0" w:type="dxa"/>
        </w:tblCellMar>
      </w:tblPr>
      <w:tblGrid>
        <w:gridCol w:w="1748"/>
        <w:gridCol w:w="8457"/>
      </w:tblGrid>
      <w:tr>
        <w:trPr/>
        <w:tc>
          <w:tcPr>
            <w:tcW w:w="1748" w:type="dxa"/>
            <w:tcBorders/>
            <w:vAlign w:val="center"/>
          </w:tcPr>
          <w:p>
            <w:pPr>
              <w:pStyle w:val="TableContents"/>
              <w:bidi w:val="0"/>
              <w:spacing w:before="0" w:after="283"/>
              <w:jc w:val="left"/>
              <w:rPr/>
            </w:pPr>
            <w:r>
              <w:rPr/>
              <w:t>4.</w:t>
            </w:r>
          </w:p>
        </w:tc>
        <w:tc>
          <w:tcPr>
            <w:tcW w:w="84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OPINION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we are of the opinion that: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83"/>
              <w:jc w:val="left"/>
              <w:rPr/>
            </w:pPr>
            <w:r>
              <w:rPr/>
              <w:t>4.1.</w:t>
            </w:r>
          </w:p>
        </w:tc>
        <w:tc>
          <w:tcPr>
            <w:tcW w:w="9858" w:type="dxa"/>
            <w:tcBorders/>
            <w:vAlign w:val="center"/>
          </w:tcPr>
          <w:p>
            <w:pPr>
              <w:pStyle w:val="TableContents"/>
              <w:bidi w:val="0"/>
              <w:spacing w:before="0" w:after="283"/>
              <w:jc w:val="both"/>
              <w:rPr/>
            </w:pPr>
            <w:r>
              <w:rPr/>
              <w:t>The Company is duly incorporated and existing under the laws of the Cayman Islands and, based on the Certificate of Good Standing, is in good standing as at the Certificate Date. Pursuant to the Companies Act (the “</w:t>
            </w:r>
            <w:r>
              <w:rPr>
                <w:b/>
              </w:rPr>
              <w:t>Act</w:t>
            </w:r>
            <w:r>
              <w:rPr/>
              <w:t>”), a company is deemed to be in good standing if all fees and penalties under the Act have been paid and the Registrar of Companies has no knowledge that the Company is in default under the Act.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pPr>
            <w:r>
              <w:rPr/>
              <w:t>4.2.</w:t>
            </w:r>
          </w:p>
        </w:tc>
        <w:tc>
          <w:tcPr>
            <w:tcW w:w="9853" w:type="dxa"/>
            <w:tcBorders/>
            <w:vAlign w:val="center"/>
          </w:tcPr>
          <w:p>
            <w:pPr>
              <w:pStyle w:val="TableContents"/>
              <w:bidi w:val="0"/>
              <w:spacing w:before="0" w:after="283"/>
              <w:jc w:val="both"/>
              <w:rPr/>
            </w:pPr>
            <w:r>
              <w:rPr/>
              <w:t>The Class A Ordinary Shares, when issued and paid for in accordance with the ATM Agreement, will be duly authorised, validly issued, fully paid and non-assessable (which term when used herein means that no further sums are required to be paid by the holders thereof in connection with the issue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references to our firm under the captions “Legal Matters” and “Service of Process and Enforcement of Civil Liabilities”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2240"/>
        <w:gridCol w:w="75"/>
      </w:tblGrid>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Conyers Dill &amp; Pearman</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Conyers Dill &amp; Pearman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conyers.com |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696401ex10-1.htm"/>
      <w:bookmarkStart w:id="7" w:name="ksea030696401ex101"/>
      <w:bookmarkEnd w:id="6"/>
      <w:bookmarkEnd w:id="7"/>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Solowin Holdings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Market Sales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value US$0.0001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Chaince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41st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 an exempted company incorporated in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Chaince Securities, LLC (“</w:t>
      </w:r>
      <w:r>
        <w:rPr>
          <w:rFonts w:ascii="Times New Roman;Times;Serif" w:hAnsi="Times New Roman;Times;Serif"/>
          <w:b w:val="false"/>
          <w:i w:val="false"/>
          <w:caps w:val="false"/>
          <w:smallCaps w:val="false"/>
          <w:sz w:val="20"/>
          <w:u w:val="single"/>
        </w:rPr>
        <w:t>Chaince,</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the Agent, as sales agent, the Company’s Class A ordinary shares, par value US$0.0001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such Ordinary Shares issued or sold herein, the “</w:t>
      </w:r>
      <w:r>
        <w:rPr>
          <w:rFonts w:ascii="Times New Roman;Times;Serif" w:hAnsi="Times New Roman;Times;Serif"/>
          <w:b w:val="false"/>
          <w:i w:val="false"/>
          <w:caps w:val="false"/>
          <w:smallCaps w:val="false"/>
          <w:sz w:val="20"/>
          <w:u w:val="single"/>
        </w:rPr>
        <w:t>Placement Shares</w:t>
      </w:r>
      <w:r>
        <w:rPr>
          <w:rFonts w:ascii="Times New Roman;Times;Serif" w:hAnsi="Times New Roman;Times;Serif"/>
          <w:b w:val="false"/>
          <w:i w:val="false"/>
          <w:caps w:val="false"/>
          <w:smallCaps w:val="false"/>
          <w:sz w:val="20"/>
        </w:rPr>
        <w:t>” and such offering and sale transaction, the “</w:t>
      </w:r>
      <w:r>
        <w:rPr>
          <w:rFonts w:ascii="Times New Roman;Times;Serif" w:hAnsi="Times New Roman;Times;Serif"/>
          <w:b w:val="false"/>
          <w:i w:val="false"/>
          <w:caps w:val="false"/>
          <w:smallCaps w:val="false"/>
          <w:sz w:val="20"/>
          <w:u w:val="single"/>
        </w:rPr>
        <w:t>ATM Program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no event shall the Company issue or sell through the Agent such number of Placement Shares that (a) exceeds the number of shares or dollar amount of Ordinary Shares registered on the effective Registration Statement (as defined below) pursuant to which the offering is being made, (b) exceeds the number of shares or dollar amount registered on the Prospectus Supplement (as defined below) or (c) the number or dollar amount of Ordinary Shares that would cause the Company or the offering of the Ordinary Shares to not satisfy the eligibility and transaction requirements for use of Form F-3, including, if applicable, General Instruction I.B.5 of Form F-3 (the lesser of (a), (b) and (c),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provided further, however,</w:t>
      </w:r>
      <w:r>
        <w:rPr>
          <w:rFonts w:ascii="Times New Roman;Times;Serif" w:hAnsi="Times New Roman;Times;Serif"/>
          <w:b w:val="false"/>
          <w:i w:val="false"/>
          <w:caps w:val="false"/>
          <w:smallCaps w:val="false"/>
          <w:sz w:val="20"/>
        </w:rPr>
        <w:t xml:space="preserve"> that in no event shall the aggregate number of Placement Shares sold pursuant to this Agreement exceed the number of authorized but unissued Ordinary Shares (less Ordinary Shares issuable upon exercise, conversion or exchange of any outstanding securities of the Company or otherwise reserved from the Company’s authorized share capital) in the Company’s authorized share capital. Notwithstanding anything to the contrary contained herein, the parties hereto agree that compliance with the limitations set forth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on the number of Placement Shares issued and sold under this Agreement shall be the sole responsibility of the Company and that the Agent shall have no obligation in connection with such compliance. The issuance and sale of Placement Shares through the Agent will be effected pursuant to the Registration Statement, although nothing in this Agreement shall be construed as requiring the Company to use the Registration Statement to issue any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on Form F-3 (File No. 333-282552), including a base prospectus (the “Base Prospectus”), relating to certain securities, including the Ordinary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specifically relating to the Placement Shares to be issued from time to time pursuant to this Agreement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F-3 filed pursuant to Rule 415 under the Securities Act by the Company to cover any Placement Shares,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Supplement, the Prospectus or any issuer free writing prospectus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including, unless the context otherwise requires, the documents, if any, filed as exhibits to such Incorporated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Each time that the Company wishes to issue and sell Placement Shares hereunder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the Agent by electronic mail (or other method mutually agreed to in writing by the Company and the Agent) of the number or dollar value of Placement Shares to be issued, the time period during which sales are requested to be made, any limitation on the number of Placement Shares that may be sold in any one Trading Day (as defined below) and any minimum price below which sales may not be made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xml:space="preserve">”), the form of which is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The Placement Notice shall originate from any of the individuals from the Company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(with a copy to each of the other individuals from the Company listed on such schedule), and shall be addressed to each of the individuals from the Agent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as such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may be amended from time to time in writing (including by e-mail). The Placement Notice shall be effective immediately upon receipt by the Agent unless and until (i) in accordance with the notice requirements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the Agent declines to accept the terms contained therein for any reason, in its sole discretion, (ii) the entire amount of the Placement Shares thereunder has been sold, (iii) in accordance with the notice requirements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the Company suspends or terminates the Placement Notice, which suspension and termination rights may be exercised by the Company for any reason in its sole discretion, (iv) the Company issues a subsequent Placement Notice with parameters superseding those on the earlier dated Placement Notice, or (v) this Agreement has been terminated under the provisions of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of this Agreement and the terms of a Placement Notice, the terms of the Placement Notice will control.</w:t>
      </w:r>
    </w:p>
    <w:p>
      <w:pPr>
        <w:pStyle w:val="TextBody"/>
        <w:bidi w:val="0"/>
        <w:spacing w:before="0" w:after="0"/>
        <w:ind w:left="18" w:right="0" w:firstLine="7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Sale of Placement Shares by the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for the period specified in a Placement Notice, the Agent will use its commercially reasonable efforts consistent with its normal trading and sales practices and applicable state and federal laws, rules and regulations and the rules of the Nasdaq Capital Market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to sell the Placement Shares up to the amount specified by the Company in, and otherwise in accordance with the terms of, such Placement Notice. The Agent will provide written confirmation to the Company (including by email correspondence to each of the individuals of the Company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 weighted average trading price of the Placement Shares sold, the compensation payable by the Company to the Agent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such sales, and the Net Proceeds (as defined below) payable to the Company, as reflected on the applicable settlement statement issued by the executing/clearing broker. Subject to the terms of a Placement Notice, the Agent may sell Placement Shares by any method permitted by law deemed to be an “at the market offering” as defined in Rule 415 of the Securities Act.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Ordinary Shares are purchased and sold on the principal market on which the Ordinary Shares are listed or quoted.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term of this Agreement, the Agent shall act solely as agent and not as principal in connection with any sale of the Placement Shares. Nothing herein shall require the Agent to purchase any Placement Shares for its own account, maintain inventory in the Ordinary Shares, make a market in the Ordinary Shares, stabilize or support the price of the Ordinary Shares, or act as a financial advisor, fiduciary, underwriter or market participant other than as expressly set forth herein. The Agent shall have no liability for declining to engage in any activity that the Agent reasonably believes could raise regulatory, market-conduct, capital, settlement, clearing, litigation or reputational concerns. Neither the Agent nor any of its affiliates or subsidiaries shall engage in (i) any short sale of any security of the Company or (ii) any sale of any security of the Company that the Agent does not own or any sale that is consummated by the delivery of a security of the Company borrowed by, or for the account of, the Agent. During the term of this Agreement and notwithstanding anything to the contrary herein, the Agent agrees that in no event will the Agent or its affiliates engage in any market making, bidding, stabilization or other trading activity with regard to the Ordinary Shares or related derivative securities if such activity would be prohibited under Regulation M or other anti-manipulation rules under the Exchange Act.</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18" w:right="0" w:firstLine="702"/>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or the Agent may, upon notice to the other party in writing (including by email correspondence to each of the individuals of the other party set forth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if receipt of such correspondence is actually acknowledged by any of the individuals to whom the notice is sent, other than via auto-reply), or by telephone (confirmed immediately by verifiable email correspondence to each of the individuals of the other party set forth on </w:t>
      </w:r>
      <w:r>
        <w:rPr>
          <w:rFonts w:ascii="Times New Roman;Times;Serif" w:hAnsi="Times New Roman;Times;Serif"/>
          <w:b w:val="false"/>
          <w:i w:val="false"/>
          <w:caps w:val="false"/>
          <w:smallCaps w:val="false"/>
          <w:sz w:val="20"/>
          <w:u w:val="single"/>
        </w:rPr>
        <w:t xml:space="preserve">Schedule </w:t>
      </w:r>
      <w:r>
        <w:rPr>
          <w:rFonts w:ascii="Times New Roman;Times;Serif" w:hAnsi="Times New Roman;Times;Serif"/>
          <w:b w:val="false"/>
          <w:i w:val="false"/>
          <w:caps w:val="false"/>
          <w:smallCaps w:val="false"/>
          <w:sz w:val="20"/>
        </w:rPr>
        <w:t>3), suspend any sale of Placement Shares (a “</w:t>
      </w:r>
      <w:r>
        <w:rPr>
          <w:rFonts w:ascii="Times New Roman;Times;Serif" w:hAnsi="Times New Roman;Times;Serif"/>
          <w:b w:val="false"/>
          <w:i w:val="false"/>
          <w:caps w:val="false"/>
          <w:smallCaps w:val="false"/>
          <w:sz w:val="20"/>
          <w:u w:val="single"/>
        </w:rPr>
        <w:t>Suspension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with respect to the delivery of certificates, opinions, or comfort letters to the Agent, shall be waived. Each of the parties agrees that no such notice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effective against any other party unless it is made to one of the individuals named on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 as such Schedule may be amended from time to time. During a Suspension, the Company shall not issue any Placement Notices and the Agent shall not sell any Placement Shares hereunder. The party that issued a suspension notice shall notify the other party in writing of the Trading Day on which the Suspension shall expire not later than twenty-four (24) hours prior to such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of this Agreement, during any period in which the Company is in possession of material non-public information with respect to the Company, the Company and the Agent agree that (i) no sale of Placement Shares will take place, (ii) the Company shall not request the sale of any Placement Shares, and (iii) the Agent shall not be obligated to sell or offer to sell any Placement Shares. The Agent may also suspend sales if the Agent becomes aware of information or circumstances that, in the Agent’s reasonable judgment, may require updated diligence, disclosure or deliverables before sales may appropriately resume. If the Agent reasonably determines that there is uncertainty regarding the Company’s FINRA Rule 5110 status or any FINRA filing or review obligation, the Agent may suspend or decline sales until such uncertainty is resolved to the Agent’s reasonable satisfaction.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provide the Company with prompt written notice, which may be by email, of any suspension of sales, together with a general description of the basis for such suspension to the extent the Agent is not prohibited from doing so by applicable law, regulation, regulatory instruction or supervisory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any suspension of sales, the Agent may resume sales only after the conditions giving rise to such suspension have been resolved, all applicable conditions to sales have been satisfied, and the Agent has reasonably determined, in its sole discretion, that resumption is appropriate in light of its regulatory obligations, supervisory procedures, market conditions, clearing requirements and risk-management obligations. The Agent shall have no obligation to resume sales within any specified period and shall retain full discretion over the timing of any resumption.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sales have been suspended for more than five (5) consecutive Trading Days, the Company may request in writing that the Agent provide a written explanation of the continued basis for such suspension. The Agent shall respond to such request within two (2) Business Days, to the extent the Agent is not prohibited from doing so by applicable law, regulation, regulatory instruction, confidentiality obligation or supervisory procedure. For the avoidance of doubt, no request by the Company shall obligate the Agent to resume sales, and the Agent shall retain full regulatory, supervisory, clearing and risk-management discretion over whether and when sales resume.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Sale and Issuance to the Agent;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the Exchange to sell such Placement Shares as required under this Agreement and (iii) the Agent shall be under no obligation to purchase Placement Shares on a principal basis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val="false"/>
          <w:caps w:val="false"/>
          <w:smallCaps w:val="false"/>
          <w:sz w:val="20"/>
        </w:rPr>
        <w:t>. Unless otherwise specified in the applicable Placement Notice, settlement for sales of Placement Shares will occur on the first (1st) Trading Day (or such earlier day as is industry practice for regular-way trading)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The Agent shall provide a written confirmation report (which may be by electronic mail) to the Company following the close of each Trading Day setting forth (among others) (A) the number of Ordinary Shares sold on such day and (B) the average price of the Ordinary Shares sold on such day, no later than the opening of the Trading Day immediately after the Settlement Date. The amount of proceeds to be delivered to the Company on a Settlement Date against receipt of the Placement Shares sold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xml:space="preserve">”) will be equal to the aggregate sales price for the Placement Shares sold, less (i) the Agent’s commission, discount or other compensation for such sales payable by the Company pursuant to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hereof, and (ii) any transaction fees imposed by any governmental or self-regulatory organization and any applicable clearing costs incurred by the Agent in respect of such sales, in each case as reflected on the settlement statement issued by the executing/clearing broker. The Agent will not receive, hold, or control any investor or Company funds or securities; all settlement information provided to the Company will be reflected in trade confirmations or a settlement statement from the executing/clearing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Issue of Placement Shares</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Placement Shares being sold by crediting the account of the Agent’s executing/clearing broker (provided the Agent shall have given the Company written notice of such designee and such designee’s account information at least one Trading Day prior to the Settlement Date) at The Depository Trust Company through its Deposit and Withdrawal at Custodian System (the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xml:space="preserve">”) and making a corresponding entry into the Company’s register of members or by such other means of issuance as may be mutually agreed upon by the parties hereto which in all cases shall be freely tradable, transferable, registered shares in good deliverable form. On each Settlement Date, the executing/clearing broker will deliver the related Net Proceeds in same day funds to an account designated by the Company on, or prior to, the Settlement Date. The Agent will not receive, hold, or control any customer, investor, or Company funds or securities. The Agent shall be responsible for providing DWAC instructions or other instructions for delivery by other means with regard to the transfer of the Placement Shares being sold. The Company agrees that if the Company, or its transfer agent (if applicable), defaults in its obligation to issue Placement Shares on a Settlement Date through no fault of the Agent, then in addition to and in no way limiting the rights and obligations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hereto, it will (i) hold the Agent harmless against any loss, claim, damage, or reasonable, documented expense (including reasonable and documented legal fees and expenses), as incurred, arising out of or in connection with such default by the Company or its transfer agent (if applicable) and (ii) pay to the Agent (without duplication) any commission, discount, or other compensation to which it would otherwise have been entitled absent such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val="false"/>
          <w:caps w:val="false"/>
          <w:smallCaps w:val="false"/>
          <w:sz w:val="20"/>
        </w:rPr>
        <w:t>. Under no circumstances shall the Company cause or request the offer or sale of any Placement Shares if, after giving effect to the sale of such Placement Shares, the aggregate number of Placement Shares sold pursuant to this Agreement would exceed the lesser of (A) together with all sales of Placement Shares under this Agreement, the Maximum Amount, (B) the amount available for offer and sale under the currently effective Registration Statement, (C) the amount authorized from time to time to be issued and sold under this Agreement by the Company’s board of directors, a duly authorized committee thereof or a duly authorized executive committee, and notified to the Agent in writing, or (D) the aggregate number of authorized but unissued and unreserved Ordinary Shares in accordance with the Company’s amended and restated memorandum and articles of association, as amended and restated from time to time (the “Articles”) or the resolutions of the Company’s board of directors. Under no circumstances shall the Company cause or request the offer or sale of any Placement Shares pursuant to this Agreement at a price lower than the higher of (a) the par value of the Placement Shares from time to time; and (b) the minimum price authorized from time to time by the Company’s board of directors, a duly authorized committee thereof or a duly authorized executive committee, and notified to the Agent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8" w:right="0" w:firstLine="702"/>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18" w:right="0" w:firstLine="7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Company’s disclosure schedules (the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which shall be deemed a part hereof and shall qualify any representation made herein to the extent of the disclosure contained in the corresponding section of the Disclosure Schedules, and as disclosed in the Registration Statement or Prospectus (including the Incorporated Documents), the Company represents and warrants to, and agrees with the Agent that as of the date of this Agreement and as of each Applicable Time (as defined below), unless such representation, warranty or agreement specifies a different date or time:</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transactions contemplated by this Agreement meet the requirements for use of Form F-3 under the Securities Act and, if and to the extent the Company is relying on General Instruction I.B.5 of Form F-3, the Company meets the requirements of General Instruction I.B.5, including that the aggregate market value of securities sold by or on behalf of the Company pursuant to General Instruction I.B.5 during the 12 calendar months immediately prior to, and including, any sale hereunder is no more than one-third of the aggregate market value worldwide of the Company’s voting and non-voting common equity held by non-affiliates, as calculated in accordance with Form F-3. The Prospectus Supplement will name Chaince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assuming no act or omission on the part of the Agent that would make such statements untrue,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 has consented, which consent will not be unreasonably withheld or delayed, or that is required by applicable law or the listing maintenance requirements of the Exchange. The Ordinary Shares are currently quoted on the Exchange under the trading symbol “AXG.” The Company has not, in the 12 months preceding the date hereof, received notice from the Exchange to the effect that the Company is not in compliance with the listing or maintenance requirements of the Exchange. To the Company’s knowledge, it is in compliance with all such listing and maintenance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shareholders’ equity of the Company and the Subsidiaries for the periods specified (subject, in the case of unaudited statements, to normal year-end audit adjustments which will not be material, either individually or in the aggregate) and have been prepared in compliance with the published requirements of the Securities Act and Exchange Act, as applicable, and in conformity with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other financial and statistical data with respect to the Company and the Subsidiaries contained or incorporated by reference in the Registration 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 balance sheet obligations), not described in the Registration Statement, and the Prospectus which are required to be described in the Registration Statement or Prospectus; and all disclosures contained or incorporated by reference in the Registration Statement and the Prospectus,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Incorporation 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and any subsidiary that is a significant subsidiary (as such term is defined in Rule 1-02 of Regulation S-X promulgated by the Commission)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are, and will be, duly incorporated or organized (as the case may be), validly existing as a company or corporation and in good standing under the laws of their respective jurisdictions of incorporation or organization. The Company and the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on the assets, business, operations, earnings, properties, condition (financial or otherwise), shareholders’ equity or results of operations of the Company and the Subsidiaries taken as a whole, or prevent the consummation of the transactions contemplated hereby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The Company does not own or control, directly or indirectly, any corporation, association or other entity other than the subsidiaries listed in Exhibit 8.1 to the Company’s Annual Report on Form 20-F for the most recently ended fiscal year and other than (i) those subsidiaries not required to be listed on Exhibit 8.1 by instructions as to exhibits to Form 20-F and (ii) those subsidiaries formed since the last day of the most recently ended fiscal year.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Neither the Company nor any Subsidiary is (i) in violation of its Articles,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Subsidiary is a party or by which the Company or any Subsidiary is bound or to which any of the property or assets of the Company or any Subsidiary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Subsidiary is a party is in default in any respect thereunder where such default would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the most recent financial statements of the Company included or incorporated by reference in the Registration Statement and Prospectus, there has not been (i) any Material Adverse Effect, or any development that would result in a Material Adverse Effect, (ii) any transaction which is material to the Company and the Subsidiaries taken as a whole, (iii) any obligation or liability, direct or contingent (including any off-balance sheet obligations), incurred by the Company or the Subsidiaries, which is material to the Company and the Subsidiaries taken as a whole, (iv) any material change in the share capital (other than (A) the grant of additional options under the Company’s existing stock option plans, (B) changes in the number of issued and outstanding Ordinary Shares of the Company due to the issuance of shares upon the exercise or conversion of securities exercisable for, or convertible into, Ordinary Shares issued and outstanding on the date hereof, (C) as a result of the issuance of Placement Shares, (D) any repurchases of shares of the Company, (E) as described in a proxy statement filed on Schedule 14A or a Registration Statement on Form F-4, or (F) otherwise publicly announced) or outstanding long-term indebtedness of the Company or the Subsidiaries or (v) any dividend or distribution of any kind declared, paid or made on the shares of the Company or any Subsidiary, other than in each case above in the ordinary course of business or as otherwise disclosed in the Registration Statement or Prospectus (including any document incorporated by reference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of the Company have been validly issued, are fully paid and non-assessable and, other than as disclosed in the Articles,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(i) the grant of additional options under the Company’s existing stock option plans, (ii) changes in the number of issued and outstanding Ordinary Shares of the Company due to the issuance of shares upon the exercise or conversion of securities exercisable for, or convertible into, Ordinary Shares issued and outstanding on the date hereof, (iii) as a result of the issuance of Placement Shares, or (iv) any repurchases of shares of the Company) and such authorized share capital conforms to the description thereof set forth in the Registration Statement and the Prospectus. The description of the Ordinary Shares in the Registration Statement and the Prospectus is complete and accurate in all material respects. Except as disclosed in or contemplated by the Registration Statement or the Prospectus, the Company did not have outstanding any options to purchase, or any rights or warrants to subscribe for, or any securities or obligations convertible into, or exchangeable for, or any contracts or commitments to issue or sell, any shares or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F-3 Eligibility</w:t>
      </w:r>
      <w:r>
        <w:rPr>
          <w:rFonts w:ascii="Times New Roman;Times;Serif" w:hAnsi="Times New Roman;Times;Serif"/>
          <w:b w:val="false"/>
          <w:i w:val="false"/>
          <w:caps w:val="false"/>
          <w:smallCaps w:val="false"/>
          <w:sz w:val="20"/>
        </w:rPr>
        <w:t>. (i) At the time of filing the Registration Statement and (ii) at the time of the most recent amendment thereto for purposes of complying with Section 10(a)(3) of the Securities Act, the Company met the then applicable requirements for use of Form F-3 under the Securities Act and, if and to the extent the Company is relying on General Instruction I.B.5 of Form F-3, the Company met the requirements of General Instruction I.B.5 (including the applicable transactional limitations thereunder). The Company is not a shell company (as defined in Rule 405 under the Securities Act) and has not been a shell company for at least 12 calendar months previously.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xml:space="preserve">.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may be limited by federal or state securities laws and public policy considerations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Authorization of Placement Shares</w:t>
      </w:r>
      <w:r>
        <w:rPr>
          <w:rFonts w:ascii="Times New Roman;Times;Serif" w:hAnsi="Times New Roman;Times;Serif"/>
          <w:b w:val="false"/>
          <w:i w:val="false"/>
          <w:caps w:val="false"/>
          <w:smallCaps w:val="false"/>
          <w:sz w:val="20"/>
        </w:rPr>
        <w:t>. The Placement Shares, when issued pursuant to the terms approved by the board of directors of the Company or a duly authorized committee thereof, or a duly authorized executive committee, and the Articles, against payment therefor to at least their par value as provided herein, and upon registration in the register of members of the Company, will be duly and validly authorized and issued and fully paid and nonassessable, and, subject to liens imposed by the Articles (as may be amended from time to time), free and clear of any pledge, encumbrance, security interest or other claim (other than any pledge, encumbrance, security interest or other claim arising from an act or omission of the Agent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 except for such consents, approvals, authorizations, orders and registrations or qualifications (i) as may be required under applicable state securities laws or by the by-laws and rules of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the Exchange, including any notices that may be required by the Exchange, in connection with the sale of the Placement Shares by the Agent, (ii) as may be required under the Securities Act, (iii) as have been previously obtained by the Company, (iv) the filing with the Commission of the Prospectus Supplement, (v) the filing of a current report on Form 6-K with respect to the execution of this Agreement, and (vi) the filings required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(i) No person, as such term is defined in Rule 1-02 of Regulation S-X promulgated under the Securities Act (each,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xml:space="preserve">”), has the right, contractual or otherwise, to cause the Company to issue or sell to such Person any Ordinary Shares or other securities of the Company (other than upon the exercise of options or warrants to purchase Ordinary Shares or upon the exercise of options that may be granted from time to time under the Company’s stock option plan), (ii) no Person has any preemptive rights, rights of first refusal, or any other rights (whether pursuant to a “poison pill” provision or otherwise) to purchase any Ordinary Shares or other securities of the Company from the Company which have not been duly waived with respect to the offering contemplated hereby, (iii) no Person has the right to act as an underwriter or as a financial advisor to the Company in connection with the offer and sale of the Ordinary Shares, and (iv) except as set forth in </w:t>
      </w:r>
      <w:r>
        <w:rPr>
          <w:rFonts w:ascii="Times New Roman;Times;Serif" w:hAnsi="Times New Roman;Times;Serif"/>
          <w:b w:val="false"/>
          <w:i w:val="false"/>
          <w:caps w:val="false"/>
          <w:smallCaps w:val="false"/>
          <w:sz w:val="20"/>
          <w:u w:val="single"/>
        </w:rPr>
        <w:t xml:space="preserve">Schedule 6(o), </w:t>
      </w:r>
      <w:r>
        <w:rPr>
          <w:rFonts w:ascii="Times New Roman;Times;Serif" w:hAnsi="Times New Roman;Times;Serif"/>
          <w:b w:val="false"/>
          <w:i w:val="false"/>
          <w:caps w:val="false"/>
          <w:smallCaps w:val="false"/>
          <w:sz w:val="20"/>
        </w:rPr>
        <w:t>no Person has the right, contractual or otherwise, to require the Company to register under the Securities Act any Ordinary Shares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in each case for such rights as have been waived on or prior to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Independent Public Accountant</w:t>
      </w:r>
      <w:r>
        <w:rPr>
          <w:rFonts w:ascii="Times New Roman;Times;Serif" w:hAnsi="Times New Roman;Times;Serif"/>
          <w:b w:val="false"/>
          <w:i w:val="false"/>
          <w:caps w:val="false"/>
          <w:smallCaps w:val="false"/>
          <w:sz w:val="20"/>
        </w:rPr>
        <w:t>. AOGB CPA Limited and WWC, P.C. (each, an “</w:t>
      </w:r>
      <w:r>
        <w:rPr>
          <w:rFonts w:ascii="Times New Roman;Times;Serif" w:hAnsi="Times New Roman;Times;Serif"/>
          <w:b w:val="false"/>
          <w:i w:val="false"/>
          <w:caps w:val="false"/>
          <w:smallCaps w:val="false"/>
          <w:sz w:val="20"/>
          <w:u w:val="single"/>
        </w:rPr>
        <w:t>Accountant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whose reports on the consolidated financial statements of the Company are filed with the Commission as part of the Company’s most recent Annual Report on Form 20-F filed with the Commission and incorporated into the Registration Statement, are and, during the periods covered by their reports, were independent public accountants within the meaning of the Securities Act and the Public Company Accounting Oversight Board (United States). To the Company’s knowledge, no Accountant is in violation of the auditor independence requirements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with respect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and, to the Company’s knowledge,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Except as set forth in Schedule 6(r), there are no legal, governmental or regulatory actions, suits or proceedings pending, nor, to the Company’s knowledge, any legal, governmental or regulatory investigations, to which the Company or a Subsidiary is a party or to which any property of the Company or any Subsidiary is the subject that, individually or in the aggregate, if determined adversely to the Company or any Subsidiary, would have a Material Adverse Effect or materially and adversely affect the ability of the Company to perform its obligations under this Agreement; to the Company’s knowledge, no such actions, suits or proceedings are threatened or contemplated in writing by any governmental or regulatory authority or threatened in writing by others that, individually or in the aggregate, if determined adversely to the Company or any Subsidiary, would have a Material Adverse Effect; and there are no current or pending legal, governmental or regulatory actions, suits, proceedings or, to the Company’s knowledge, investigations that are required under the Securities Act to be described in the Prospectus that are not described in the Prospectus (including any Incorporated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The Company and the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currently conducted, as described in the Registration Statement and the Prospectus (the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obtain or make the same would not, individually or in the aggregate, have a Material Adverse Effect. Neither the Company nor any Subsidiary has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Subsidiary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20-F,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nor any Subsidiary, nor, to the knowledge of the Company, any of their respective directors, officers or controlling persons has taken, directly or indirectly, any action designed, or that has constituted or would cause or result in, under the Exchange Act or otherwise, the stabilization or manipulation of the price of any security of the Company to facilitate the sale or resale of the Placement Shares. The Company has not (i) provided the Agent with any targeted investor list, (ii) directed sales to specific persons, accounts or groups, (iii) coordinated investor participation in the ATM Program, (iv) encouraged or arranged purchases by affiliates, related parties, officers, directors, employees, consultants, promoters, vendors, customers or strategic partners, or (v) used any nominee, omnibus, pass-through or coordinated account structure to facilitate purchases of Placement Shares or trading in the Ordinary Shares. The Company is not aware of any nominee accounts, omnibus structures, coordinated investor groups, undisclosed investor arrangements, market manipulation arrangements, paid touting arrangements or promotional campaigns relating to the Ordinary Shares or the ATM Program. The Company has not engaged in coordinated social media promotion campaigns, group-based trading inducement, issuer-sponsored investor groups, undisclosed third-party marketing efforts, paid touting, promotional newsletters, online chatroom campaigns, or other communications through social media or messaging platforms for the purpose of encouraging trading in the Ordinary Shares or facilitating sale under the ATM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Broker/Dealer Relationships</w:t>
      </w:r>
      <w:r>
        <w:rPr>
          <w:rFonts w:ascii="Times New Roman;Times;Serif" w:hAnsi="Times New Roman;Times;Serif"/>
          <w:b w:val="false"/>
          <w:i w:val="false"/>
          <w:caps w:val="false"/>
          <w:smallCaps w:val="false"/>
          <w:sz w:val="20"/>
        </w:rPr>
        <w:t>. Neither the Company nor any Subsidiary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any Agent or legal counsel for the Agent for any legal, tax or accounting advice in connection with the offering and sale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have a Material Adverse Effect. Except as otherwise disclosed in or contemplated by the Registration Statement or the Prospectus, no tax deficiency has been determined adversely to the Company or any Subsidiary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xml:space="preserve"> The Company and the Subsidiaries have good and valid title in fee simple to all items of real property and good and valid title to all personal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and proposed to be made of such property by the Company and the Subsidiaries or (ii) would not, individually or in the aggregate, have a Material Adverse Effect. Any real property described in the Registration Statement or Prospectus as being leased by the Company and the Subsidiaries is held by them under valid, existing and enforceable leases, except those that (A) do not materially interfere with the use made or proposed to be made of such property by the Company or the Subsidiaries or (B) would not, individually or in the aggregate,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the Subsidiaries own or possess adequate enforceable rights to use all patents, patent applications, trademarks (both registered and unregistered), trade names, trademark registrations, service marks, service mark registrations, Internet domain name registrations, copyrights, copyright registrations, licenses and know-how (including trade secrets and other unpatented and/or unpatentable proprietary or confidential information, systems or procedures) (collectively, the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In the last two (2) years prior to the date of this Agreement, the Company and the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challenging the Company’s or any Subsidiary’s rights in or to or the validity of the scope of any of the Company’s or its Subsidiaries’ patents, patent applications or proprietary information. To the Company’s knowledge, no other entity or individual has any right or claim in any of the Company’s or any of its Subsidiary’s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In the last two (2) years prior the date of this Agreement, the Company has not received any written notice of any claim challenging the rights of the Company or its Subsidiaries in or to any Intellectual Property owned, licensed or optioned by the Company or any Subsidiary which claim, if the subject of an unfavorable decision, would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Compliance with Applicable Laws.</w:t>
      </w:r>
      <w:r>
        <w:rPr>
          <w:rFonts w:ascii="Times New Roman;Times;Serif" w:hAnsi="Times New Roman;Times;Serif"/>
          <w:b w:val="false"/>
          <w:i w:val="false"/>
          <w:caps w:val="false"/>
          <w:smallCaps w:val="false"/>
          <w:sz w:val="20"/>
        </w:rPr>
        <w:t xml:space="preserve"> The Company and the Subsidiaries: (a) are and at all times have been in material compliance with all statutes, rules and regulations applicable to the ownership, testing, development, manufacture, packaging, processing, use, distribution, marketing, labeling, promotion, sale, offer for sale, storage, import, export or disposal of any product or service under development, manufactured or distributed by the Company or the Subsidiaries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(b) have not received any notice or communication from any federal, state, local or foreign governmental or regulatory authority alleging or asserting material noncompliance with any Applicable Laws or any licenses, certificates, approvals, clearances, authorizations, permits and supplements or amendments thereto required by any such Applicable Laws (“</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which would, individually or in the aggregate, result in a Material Adverse Effect, (c) possess all material Authorizations necessary for its operations as currently conducted and such Authorizations are valid and in full force and effect and neither the Company nor the Subsidiaries is in material violation of any term of any such Authorizations; and (d) have filed, obtained, maintained or submitted all reports, documents, forms, notices, applications, records, claims, submissions and supplements or amendments as required by any Applicable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materially complete and correct on the date filed (or were corrected or supplemented by a subsequent submission).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disclosed in its most recent Annual Report on Form 20-F that it has identified material weaknesses in its internal control over financial reporting relating to the lack of in-house accounting personnel with sufficient knowledge of U.S. GAAP and SEC reporting experience, and that the Company’s disclosure controls and procedures as of March 31, 2026 were not effective. Such material weaknesses and ineffective disclosure controls and procedures have been disclosed in the Registration Statement and the Prospectus. The Company has developed, and is in the process of implementing, a remediation plan to address such material weaknesses, including (i) hiring additional accounting and financial reporting personnel with SEC reporting experience, (ii) expanding the capabilities of existing accounting and financial reporting personnel through continuous training and education in the accounting and reporting requirements under SEC rules and regulations, and (iii) establishing effective monitoring and oversight controls for non-recurring and complex transactions to ensure the accuracy and completeness of the Company’s consolidated financial statements and related disclosures. Other than as set forth in the Registration Statement or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The Company has established disclosure controls and procedures (as defined in Exchange Act Rules 13a-15 and 15d-15) that comply with the requirements of the Exchange Act. The Company’s certifying officers have evaluated the effectiveness of the Company’s controls and procedures as of a date within 90 days prior to the filing date of the Form 20-F for the fiscal year most recently ended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Form 20-F for the fiscal year most recently ended the conclusions of the certifying officers about the effectiveness of the disclosure controls and procedures based on their evaluations as of the most recent Evaluation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There is and has been no failure on the part of the Company or, to the knowledge of the Company,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Exchange Act Rules 13a-15 and 15d-15.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Neither the Company nor any Subsidiary has incurred any liability for any finder’s fees, brokerage commissions or similar payments in connection with the transactions herein contemplated, except as may otherwise exist with respect to the Agent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employees of the Company or any Subsidiary exists or, to the knowledge of the Company, is threatened which would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Neither the Company nor any Subsidiary is or, after giving effect to the offering and sale of the Placement Shares, will be required to register as an “investment company” or an entity “controlled” by an “investment company,” as such terms are defined in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and the Subsidiaries are and have been conducted at all times in compliance with applicable financial record keeping and reporting requirements of the Currency and Foreign Transactions Reporting Act of 1970, as amended, the anti-money laundering statutes of all jurisdictions to which the Company or the Subsidiaries are subject, the rules and regulations thereunder and any related or similar rules, regulations or guidelines, issued, administered or enforced by any governmental agency having jurisdiction over the Company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except where the failure to be in such compliance would not result in a Material Adverse Effect; and no action, suit or proceeding by or before any court or governmental agency, authority or body or any arbitrator involving the Company or any Subsidiary with respect to the Money Laundering Laws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Times;Serif" w:hAnsi="Times New Roman;Times;Serif"/>
          <w:b w:val="false"/>
          <w:i w:val="false"/>
          <w:caps w:val="false"/>
          <w:smallCaps w:val="false"/>
          <w:sz w:val="20"/>
          <w:u w:val="single"/>
        </w:rPr>
        <w:t>Off Balance Sheet Transaction</w:t>
      </w:r>
      <w:r>
        <w:rPr>
          <w:rFonts w:ascii="Times New Roman;Times;Serif" w:hAnsi="Times New Roman;Times;Serif"/>
          <w:b w:val="false"/>
          <w:i w:val="false"/>
          <w:caps w:val="false"/>
          <w:smallCaps w:val="false"/>
          <w:sz w:val="20"/>
        </w:rPr>
        <w:t>”)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Underwriter Agreements</w:t>
      </w:r>
      <w:r>
        <w:rPr>
          <w:rFonts w:ascii="Times New Roman;Times;Serif" w:hAnsi="Times New Roman;Times;Serif"/>
          <w:b w:val="false"/>
          <w:i w:val="false"/>
          <w:caps w:val="false"/>
          <w:smallCaps w:val="false"/>
          <w:sz w:val="20"/>
        </w:rPr>
        <w:t>. Other than with respect to this Agreement, the Company is not a party to any agreement with an agent or underwriter for any other “at the market” or continuous equity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(a “</w:t>
      </w:r>
      <w:r>
        <w:rPr>
          <w:rFonts w:ascii="Times New Roman;Times;Serif" w:hAnsi="Times New Roman;Times;Serif"/>
          <w:b w:val="false"/>
          <w:i w:val="false"/>
          <w:caps w:val="false"/>
          <w:smallCaps w:val="false"/>
          <w:sz w:val="20"/>
          <w:u w:val="single"/>
        </w:rPr>
        <w:t>Forward-Looking Statement</w:t>
      </w:r>
      <w:r>
        <w:rPr>
          <w:rFonts w:ascii="Times New Roman;Times;Serif" w:hAnsi="Times New Roman;Times;Serif"/>
          <w:b w:val="false"/>
          <w:i w:val="false"/>
          <w:caps w:val="false"/>
          <w:smallCaps w:val="false"/>
          <w:sz w:val="20"/>
        </w:rPr>
        <w:t>”) contained in the Registration Statement and the Prospectus has been made or reaffirmed without a reasonable basis or has been disclosed other than in good faith.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nor sale of the Placement Shares nor the application of the proceeds thereof by the Company as described in the Registration Statement and the Prospectus will violate Regulation T, U or X of the Board of Governors of the Federal Reserve 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its directors and officers, and the Subsidiaries carry, or are covered by, insurance in such amounts and covering such risks as the Company and the Subsidiaries reasonably believe are adequate for the conduct of their business, and with respect to the Company’s directors and officers, the discharge of their respective responsibilities.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to the Company’s knowledge, the Subsidiaries, nor to the Company’s knowledge, any of their respective executive officers has, in the past five years prior to the date of this Agreement,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the Subsidiaries or any affiliate of any of them, on the one hand, and the directors, officers and shareholders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or any affiliate of them, on the one hand, and the directors, officers or shareholders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to the Company’s knowledge, the Subsidiaries to or for the benefit of any of their respective officers or directors or any of the members of the families of any of them; and (v) the Company has not offered, or caused any placement agent to offer, Ordinary Shares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 (vi) 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Status Under the Securities Act</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No Misstatement or Omission in an Issuer Free Writing Prospectus</w:t>
      </w:r>
      <w:r>
        <w:rPr>
          <w:rFonts w:ascii="Times New Roman;Times;Serif" w:hAnsi="Times New Roman;Times;Serif"/>
          <w:b w:val="false"/>
          <w:i w:val="false"/>
          <w:caps w:val="false"/>
          <w:smallCaps w:val="false"/>
          <w:sz w:val="20"/>
        </w:rPr>
        <w:t xml:space="preserve">. Each Issuer Free Writing Prospectus, as of its issue date and as of each Applicable Time (as defined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below), did not, does not and will not, through the completion of the Placement or Placements for which such Issuer Free Writing Prospectus is issued,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of this Agreement, nor the issuance, offering or sale of the Placement Shares, nor the consummation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Subsidiary (collectively, the “</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nor, to the Company’s knowledge, any director, officer, employee, agent, affiliate or representative of the Entity, is a government, individual, or entity (in this paragraph (tt),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that is, or is owned or controlled by a Person that is:</w:t>
      </w:r>
    </w:p>
    <w:p>
      <w:pPr>
        <w:pStyle w:val="TextBody"/>
        <w:bidi w:val="0"/>
        <w:spacing w:before="0" w:after="0"/>
        <w:ind w:left="72" w:right="0" w:firstLine="2088"/>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Treasury’s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w:t>
      </w:r>
      <w:r>
        <w:rPr>
          <w:rFonts w:ascii="Times New Roman;Times;Serif" w:hAnsi="Times New Roman;Times;Serif"/>
          <w:b w:val="false"/>
          <w:i w:val="false"/>
          <w:caps w:val="false"/>
          <w:smallCaps w:val="false"/>
          <w:sz w:val="20"/>
          <w:u w:val="single"/>
        </w:rPr>
        <w:t>UNSC</w:t>
      </w:r>
      <w:r>
        <w:rPr>
          <w:rFonts w:ascii="Times New Roman;Times;Serif" w:hAnsi="Times New Roman;Times;Serif"/>
          <w:b w:val="false"/>
          <w:i w:val="false"/>
          <w:caps w:val="false"/>
          <w:smallCaps w:val="false"/>
          <w:sz w:val="20"/>
        </w:rPr>
        <w:t>”), the European Union (“</w:t>
      </w:r>
      <w:r>
        <w:rPr>
          <w:rFonts w:ascii="Times New Roman;Times;Serif" w:hAnsi="Times New Roman;Times;Serif"/>
          <w:b w:val="false"/>
          <w:i w:val="false"/>
          <w:caps w:val="false"/>
          <w:smallCaps w:val="false"/>
          <w:sz w:val="20"/>
          <w:u w:val="single"/>
        </w:rPr>
        <w:t>EU</w:t>
      </w:r>
      <w:r>
        <w:rPr>
          <w:rFonts w:ascii="Times New Roman;Times;Serif" w:hAnsi="Times New Roman;Times;Serif"/>
          <w:b w:val="false"/>
          <w:i w:val="false"/>
          <w:caps w:val="false"/>
          <w:smallCaps w:val="false"/>
          <w:sz w:val="20"/>
        </w:rPr>
        <w:t>”), His Majesty’s Treasury (“</w:t>
      </w:r>
      <w:r>
        <w:rPr>
          <w:rFonts w:ascii="Times New Roman;Times;Serif" w:hAnsi="Times New Roman;Times;Serif"/>
          <w:b w:val="false"/>
          <w:i w:val="false"/>
          <w:caps w:val="false"/>
          <w:smallCaps w:val="false"/>
          <w:sz w:val="20"/>
          <w:u w:val="single"/>
        </w:rPr>
        <w:t>HMT</w:t>
      </w:r>
      <w:r>
        <w:rPr>
          <w:rFonts w:ascii="Times New Roman;Times;Serif" w:hAnsi="Times New Roman;Times;Serif"/>
          <w:b w:val="false"/>
          <w:i w:val="false"/>
          <w:caps w:val="false"/>
          <w:smallCaps w:val="false"/>
          <w:sz w:val="20"/>
        </w:rPr>
        <w:t>”),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Entity will not, directly or indirectly, knowingly use the proceeds of the offering, or lend, contribute or otherwise make available such proceeds to any subsidiary, joint venture partner or other Person:</w:t>
      </w:r>
    </w:p>
    <w:p>
      <w:pPr>
        <w:pStyle w:val="TextBody"/>
        <w:bidi w:val="0"/>
        <w:spacing w:before="0" w:after="0"/>
        <w:ind w:left="72" w:right="0" w:firstLine="2178"/>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Entity represents and covenants that, except as detailed in the Registration Statement and the Prospectus, for the past 5 years, it has not knowingly engaged in and is not now knowingly engaged in any dealing or transactions with any Person, or in any country or territory, that at the time of the dealing or transaction is or was the subject of Sanctions.</w:t>
      </w:r>
    </w:p>
    <w:p>
      <w:pPr>
        <w:pStyle w:val="TextBody"/>
        <w:bidi w:val="0"/>
        <w:spacing w:before="0" w:after="0"/>
        <w:ind w:left="72" w:right="0" w:firstLine="217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Stock Transfer Taxes</w:t>
      </w:r>
      <w:r>
        <w:rPr>
          <w:rFonts w:ascii="Times New Roman;Times;Serif" w:hAnsi="Times New Roman;Times;Serif"/>
          <w:b w:val="false"/>
          <w:i w:val="false"/>
          <w:caps w:val="false"/>
          <w:smallCaps w:val="false"/>
          <w:sz w:val="20"/>
        </w:rPr>
        <w:t>. On each Settlement Date, all material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by the Company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(i)(x) To the knowledge of Company, there has been no security breach or other compromise of any Company’s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has not been notified of, and has no knowledge of any event or condition that would reasonably be expected to result in, any security breach or other compromise to its IT Systems and Data;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 and (iii) the Company has implemented backup and disaster recovery technology consistent with industry standards and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 </w:t>
      </w:r>
      <w:r>
        <w:rPr>
          <w:rFonts w:ascii="Times New Roman;Times;Serif" w:hAnsi="Times New Roman;Times;Serif"/>
          <w:b w:val="false"/>
          <w:i w:val="false"/>
          <w:caps w:val="false"/>
          <w:smallCaps w:val="false"/>
          <w:sz w:val="20"/>
          <w:u w:val="single"/>
        </w:rPr>
        <w:t>FINRA Exemption</w:t>
      </w:r>
      <w:r>
        <w:rPr>
          <w:rFonts w:ascii="Times New Roman;Times;Serif" w:hAnsi="Times New Roman;Times;Serif"/>
          <w:b w:val="false"/>
          <w:i w:val="false"/>
          <w:caps w:val="false"/>
          <w:smallCaps w:val="false"/>
          <w:sz w:val="20"/>
        </w:rPr>
        <w:t>. As of the date of this Agreement, either (i) the Company qualifies as an “experienced issuer” under FINRA Rule 5110(j), or (ii) any FINRA filing, notice, review, no-objections process or other action required in connection with the transactions contemplated hereby has been completed, cleared, waived or is not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w:t>
      </w:r>
      <w:r>
        <w:rPr>
          <w:rFonts w:ascii="Times New Roman;Times;Serif" w:hAnsi="Times New Roman;Times;Serif"/>
          <w:b w:val="false"/>
          <w:i w:val="false"/>
          <w:caps w:val="false"/>
          <w:smallCaps w:val="false"/>
          <w:sz w:val="20"/>
          <w:u w:val="single"/>
        </w:rPr>
        <w:t>Foreign Private Issuer</w:t>
      </w:r>
      <w:r>
        <w:rPr>
          <w:rFonts w:ascii="Times New Roman;Times;Serif" w:hAnsi="Times New Roman;Times;Serif"/>
          <w:b w:val="false"/>
          <w:i w:val="false"/>
          <w:caps w:val="false"/>
          <w:smallCaps w:val="false"/>
          <w:sz w:val="20"/>
        </w:rPr>
        <w:t>. The Company is a “foreign private issuer” within the meaning of Rule 405 under the Securities Act. If the Company ceases to be “foreign private issuer” after the date hereof, any references in this Agreement (i) to a Form 20-F filed, or to be filed, after the date hereof shall be to a Form 10-K, (ii) to a Form 6-K filed or to be filed, after the date hereof shall be to a Form 8-K and (iii) in Section 7(r) Sarbanes-Oxley Act regarding “IFRS” shall regard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w:t>
      </w:r>
      <w:r>
        <w:rPr>
          <w:rFonts w:ascii="Times New Roman;Times;Serif" w:hAnsi="Times New Roman;Times;Serif"/>
          <w:b w:val="false"/>
          <w:i w:val="false"/>
          <w:caps w:val="false"/>
          <w:smallCaps w:val="false"/>
          <w:sz w:val="20"/>
          <w:u w:val="single"/>
        </w:rPr>
        <w:t>Emerging Growth Company</w:t>
      </w:r>
      <w:r>
        <w:rPr>
          <w:rFonts w:ascii="Times New Roman;Times;Serif" w:hAnsi="Times New Roman;Times;Serif"/>
          <w:b w:val="false"/>
          <w:i w:val="false"/>
          <w:caps w:val="false"/>
          <w:smallCaps w:val="false"/>
          <w:sz w:val="20"/>
        </w:rPr>
        <w:t>. The Company is, and has been since its initial public offering, an “emerging growth company”, as defined in Section 2(a)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zz. </w:t>
      </w:r>
      <w:r>
        <w:rPr>
          <w:rFonts w:ascii="Times New Roman;Times;Serif" w:hAnsi="Times New Roman;Times;Serif"/>
          <w:b w:val="false"/>
          <w:i w:val="false"/>
          <w:caps w:val="false"/>
          <w:smallCaps w:val="false"/>
          <w:sz w:val="20"/>
          <w:u w:val="single"/>
        </w:rPr>
        <w:t>Passive Foreign Investment Company Status</w:t>
      </w:r>
      <w:r>
        <w:rPr>
          <w:rFonts w:ascii="Times New Roman;Times;Serif" w:hAnsi="Times New Roman;Times;Serif"/>
          <w:b w:val="false"/>
          <w:i w:val="false"/>
          <w:caps w:val="false"/>
          <w:smallCaps w:val="false"/>
          <w:sz w:val="20"/>
        </w:rPr>
        <w:t>. Based on the Company’s gross income and gross assets and the nature of the Company’s business, the Company was not a Passive Foreign Investment Company within the meaning of Section 1297 of the Code for the taxable year ended March 31,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(aaa) </w:t>
      </w:r>
      <w:r>
        <w:rPr>
          <w:rFonts w:ascii="Times New Roman;Times;Serif" w:hAnsi="Times New Roman;Times;Serif"/>
          <w:b w:val="false"/>
          <w:i w:val="false"/>
          <w:caps w:val="false"/>
          <w:smallCaps w:val="false"/>
          <w:sz w:val="20"/>
          <w:u w:val="single"/>
        </w:rPr>
        <w:t>Controlled Foreign Corporation Status</w:t>
      </w:r>
      <w:r>
        <w:rPr>
          <w:rFonts w:ascii="Times New Roman;Times;Serif" w:hAnsi="Times New Roman;Times;Serif"/>
          <w:b w:val="false"/>
          <w:i w:val="false"/>
          <w:caps w:val="false"/>
          <w:smallCaps w:val="false"/>
          <w:sz w:val="20"/>
        </w:rPr>
        <w:t>. Based on the ownership of the Company’s shares, the Company does not believe that it was a “controlled foreign corporation” within the meaning of Section 957 of the Code for the taxable year ended March 31, 2026.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(ccc) </w:t>
      </w:r>
      <w:r>
        <w:rPr>
          <w:rFonts w:ascii="Times New Roman;Times;Serif" w:hAnsi="Times New Roman;Times;Serif"/>
          <w:b w:val="false"/>
          <w:i w:val="false"/>
          <w:caps w:val="false"/>
          <w:smallCaps w:val="false"/>
          <w:sz w:val="20"/>
          <w:u w:val="single"/>
        </w:rPr>
        <w:t>PRC Export Controls</w:t>
      </w:r>
      <w:r>
        <w:rPr>
          <w:rFonts w:ascii="Times New Roman;Times;Serif" w:hAnsi="Times New Roman;Times;Serif"/>
          <w:b w:val="false"/>
          <w:i w:val="false"/>
          <w:caps w:val="false"/>
          <w:smallCaps w:val="false"/>
          <w:sz w:val="20"/>
        </w:rPr>
        <w:t>. Neither the Company nor any Subsidiary is in violation of any applicable export control laws or regulations of the PRC, the United States or any other applicable jurisdiction, including without limitation the Export Administration Regulations administered by the U.S. Department of Commerce, except where such violation would not, individually or in the aggregate, have a Material Adverse Effect. Neither the Company nor any Subsidiary has received any written notice from any governmental authority regarding any actual or alleged violation of, or failure to comply with, any export control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(ddd) </w:t>
      </w:r>
      <w:r>
        <w:rPr>
          <w:rFonts w:ascii="Times New Roman;Times;Serif" w:hAnsi="Times New Roman;Times;Serif"/>
          <w:b w:val="false"/>
          <w:i w:val="false"/>
          <w:caps w:val="false"/>
          <w:smallCaps w:val="false"/>
          <w:sz w:val="20"/>
          <w:u w:val="single"/>
        </w:rPr>
        <w:t>Cayman Islands Good Standing</w:t>
      </w:r>
      <w:r>
        <w:rPr>
          <w:rFonts w:ascii="Times New Roman;Times;Serif" w:hAnsi="Times New Roman;Times;Serif"/>
          <w:b w:val="false"/>
          <w:i w:val="false"/>
          <w:caps w:val="false"/>
          <w:smallCaps w:val="false"/>
          <w:sz w:val="20"/>
        </w:rPr>
        <w:t>. The Company is duly incorporated, validly existing and in good standing under the laws of the Cayman Islands. Pursuant to the Companies Act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a company is deemed to be in good standing if all fees and penalties under the Act have been paid and the Registrar of Companies has no knowledge that the company is in default under the Act. No petition or proceeding has been presented or commenced, and no order has been made, and no resolution has been passed, for the winding-up of the Company or for the appointment of a provisional liquidator, receiver or similar officer over the Company or any of its assets. No receiver, trustee, administrator, administrative receiver or similar officer has been appointed over the Company or any of its assets. The Company is not the subject of any insolvency or bankruptcy proceedings in the Cayman Islands or elsewhere.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(eee) </w:t>
      </w:r>
      <w:r>
        <w:rPr>
          <w:rFonts w:ascii="Times New Roman;Times;Serif" w:hAnsi="Times New Roman;Times;Serif"/>
          <w:b w:val="false"/>
          <w:i w:val="false"/>
          <w:caps w:val="false"/>
          <w:smallCaps w:val="false"/>
          <w:sz w:val="20"/>
          <w:u w:val="single"/>
        </w:rPr>
        <w:t>Product Compliance</w:t>
      </w:r>
      <w:r>
        <w:rPr>
          <w:rFonts w:ascii="Times New Roman;Times;Serif" w:hAnsi="Times New Roman;Times;Serif"/>
          <w:b w:val="false"/>
          <w:i w:val="false"/>
          <w:caps w:val="false"/>
          <w:smallCaps w:val="false"/>
          <w:sz w:val="20"/>
        </w:rPr>
        <w:t>. The Company’s products have been designed, manufactured, tested, and marketed in compliance with applicable product safety laws, regulations, and industry standards, including without limitation any applicable certifications required for commercial sale in the markets in which the Company operates, except where the failure to be in such compliance would not, individually or in the aggregate, have a Material Adverse Effect. Neither the Company nor any Subsidiary has received any written notice from any governmental or regulatory authority alleging a material violation of any product safety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(fff) </w:t>
      </w:r>
      <w:r>
        <w:rPr>
          <w:rFonts w:ascii="Times New Roman;Times;Serif" w:hAnsi="Times New Roman;Times;Serif"/>
          <w:b w:val="false"/>
          <w:i w:val="false"/>
          <w:caps w:val="false"/>
          <w:smallCaps w:val="false"/>
          <w:sz w:val="20"/>
          <w:u w:val="single"/>
        </w:rPr>
        <w:t xml:space="preserve">Equity Incentive Plans. </w:t>
      </w:r>
      <w:r>
        <w:rPr>
          <w:rFonts w:ascii="Times New Roman;Times;Serif" w:hAnsi="Times New Roman;Times;Serif"/>
          <w:b w:val="false"/>
          <w:i w:val="false"/>
          <w:caps w:val="false"/>
          <w:smallCaps w:val="false"/>
          <w:sz w:val="20"/>
        </w:rPr>
        <w:t>The Company has adopted the Solowin Holdings 2023 Equity Incentive Plan (the “</w:t>
      </w:r>
      <w:r>
        <w:rPr>
          <w:rFonts w:ascii="Times New Roman;Times;Serif" w:hAnsi="Times New Roman;Times;Serif"/>
          <w:b w:val="false"/>
          <w:i w:val="false"/>
          <w:caps w:val="false"/>
          <w:smallCaps w:val="false"/>
          <w:sz w:val="20"/>
          <w:u w:val="single"/>
        </w:rPr>
        <w:t>2023 Plan</w:t>
      </w:r>
      <w:r>
        <w:rPr>
          <w:rFonts w:ascii="Times New Roman;Times;Serif" w:hAnsi="Times New Roman;Times;Serif"/>
          <w:b w:val="false"/>
          <w:i w:val="false"/>
          <w:caps w:val="false"/>
          <w:smallCaps w:val="false"/>
          <w:sz w:val="20"/>
        </w:rPr>
        <w:t>”), pursuant to which 5,000,000 Ordinary Shares have been registered for issuance on Form S-8 (File No. 333-275337). The 2023 Plan has been duly authorized by all necessary corporate action. All equity awards granted under the 2023 Plan have been duly authorized and, to the extent exercised or settled, the Ordinary Shares issued pursuant thereto have been validly issued, fully paid and nonassessable. The Company has reserved a sufficient number of Ordinary Shares for issuance upon the exercise or settlement of all outstanding awards under the 2023 Plan. Except as disclosed in the Registration Statement or the Prospectus, there are no outstanding awards, and no awards are issuable, under the 2023 Plan or any other equity incentive plan of the Company that, together with the Placement Shares, would exceed the number of authorized but unissued and unreserved Ordinary Shares of the Company. The Registration Statement and the Prospectus accurately describe, in all material respects, the terms of the 2023 Plan and all outstanding awards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the Agent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(i) the Company will notify the Agent promptly of the time when any subsequent amendment to the Registration Statement, other than Incorporated Documents, has been filed with the Commission and/or has become effective or any subsequent supplement to the Prospectus has been filed and of any request by the Commission for any amendment or supplement to the Registration Statement or Prospectus related to the Placement Shares or for additional information related to the transactions contemplated hereby, (ii) the Company will prepare and file with the Commission, promptly upon the Agent’s reasonable request, any amendments or supplements to the Registration Statement or Prospectus that, upon the advice of the Company’s legal counsel, may be necessary or advisable in connection with the distribution of the Placement Shares by the Agent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only remedy the Agent shall have with respect to the failure to make such filing (but without limiting the Agent’s rights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(other than an Incorporated Document) unless a copy thereof has been submitted to the Agent within a reasonable period of time before the filing and the Agent has not reasonably objected in writing thereto within two (2) Business Days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the transaction herein provided;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only remedy the Agent shall have with respect to the failure by the Company to obtain such consent (but without limiting the Agent’s rights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hereof) shall be to cease making sales under this Agreement if the Company fails to provide the Agent with such copy prior to filing, or files such amendment or supplement despite the Agent’s reasonable objection)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Incorporated Documents, to be filed with the Commission as required pursuant to the applicable paragraph of Rule 424(b) of the Securities Act or, in the case of any Incorporated Document, to be filed with the Commission as required pursuant to the Exchange Act, within the time period prescribed (the determination to file or not file any amendment or supplement with the Commission under this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based on the Company’s reasonable opinion or reasonable objections, shall be made exclusively by the Company).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xml:space="preserve">. During the Prospectus Delivery Period, the Company will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the Prospectus Delivery Period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the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delay the filing of any such amendment or supplement only to the extent the Company determines in good faith, upon advice of counsel, that such delay is necessary to comply with applicable law, and provided further that during any such delay (and until such amendment or supplement is filed (and, if required, declared effective)), no Placement Notice shall be delivered and the Agent shall have no obligation to sell any Placement Shares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xml:space="preserve">. During the Prospectus Delivery Period, the Company will use its commercially reasonable efforts to cause the Placement Shares to be listed on the Exchange and to qualify the Placement Shares for sale under the securities laws of such jurisdictions in the United States as the Agent reasonably designates and to continue such qualifications in effect so long as required for the distribution of the Placement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in connection therewith to qualify as a foreign corporation or dealer in securities, file a general consent to service of process, or subject itself to taxation in any jurisdiction if it is not otherwise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xml:space="preserve">. The Company will furnish to the Agent and its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furnish any document (other than the Prospectus) to the Agent to the extent such document is available on EDGAR.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16 months after the end of the Company’s current fiscal year, an earnings statement covering a 12-month period that satisfies the provisions of Section 11(a) and Rule 158 of the Securities Act, which requirement may be satisfied by publicly filing the required information on EDGAR.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The Company (I) shall provide the Agent notice at least two (2) Trading Days before it offers, sells, contracts to sell, grants any option to sell or otherwise disposes of any Ordinary Shares (other than the Placement Shares offered pursuant to this Agreement) or securities convertible into or exchangeable for Ordinary Shares, warrants or any rights to purchase or acquire Ordinary Shares during the period beginning on the date on which any Placement Notice is delivered to the Agent hereunder and ending on the third (3rd) Trading Day immediately after the final Settlement Date with respect to Placement Shares sold pursuant to such Placement Notice (or, if the Placement Notice has been terminated or suspended prior to the sale of all Placement Shares covered by a Placement Notice, the date of such suspension or termination), and (II) will not directly or indirectly in any other “at the market” or continuous equity transaction offer to sell, sell, contract to sell, grant any option to sell or otherwise dispose of any Ordinary Shares (other than the Placement Shares offered pursuant to this Agreement) or securities convertible into or exchangeable for Ordinary Shares, warrants or any rights to purchase or acquire Ordinary Shares during the period beginning when any Placement Notice becomes effective and ending on the final Settlement Date with respect to Placement Shares sold pursuant to such Placement Notice (or, if such Placement Notice is suspended or terminated prior to the sale of all Placement Shares covered thereby, on the date of such suspension or termination) without the prior written consent of the Agent; provided, however, that such restrictions will not apply in connection with the Company’s issuance, grant or sale of (i) Ordinary Shares, options to purchase Ordinary Shares or Ordinary Shares issuable upon the exercise of options or the exercise or vesting of other equity awards, pursuant to any stock option, other equity incentive plan or benefits plan, stock ownership plan or dividend reinvestment plan (but not Ordinary Shares subject to a waiver to exceed plan limits in its dividend reinvestment plan) of the Company whether now in effect or hereafter implemented; (ii) Ordinary Shares issuable upon conversion of securities or the exercise of warrants, options or other rights in effect or outstanding, and disclosed in filings by the Company available on EDGAR or otherwise in writing, to the Agent, (iii) Ordinary Shares, or securities convertible into or exercisable for Ordinary Shares, offered and sold in a privately negotiated transaction to vendors, customers, strategic partners or potential strategic partners or other investors conducted in a manner so as not to be integrated with the offering of Ordinary Shares hereby and (iv) Ordinary Shares in connection with any acquisition, strategic investment or other similar transaction (including any joint venture, strategic alliance or partnership). For avoidance of doubt, nothing herein shall be construed to restrict the Company’s ability, or require the Company to provide notice to the Agent, to file a registration statement with the Commission. Notwithstanding the foregoing, the Company shall provide the Agent notice at least three (3) Business Days prior to commencing any private or public offerings of equity and/or other securities, including debt securities, in one or more transactions.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 The Company shall promptly notify the Agent of any restatement, non-reliance determination, change in or disagreement with accountants, new material weakness or significant deficiency, audit committee investigation, late filing, or other material audit or financial reporting matter that could affect the accuracy of the Registration Statement or Prospectus or the Company’s ability to conduct the ATM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During the term of this Agreement,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whether remotely, electronically or otherwise, as the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such dates as the Securities Act shall require, the Company will (i) file a prospectus supplement with the Commission under the applicable paragraph of Rule 424(b) under the Securities Act (each and every date a filing under Rule 424(b) is made, a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xml:space="preserve">”),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provided, that, the Company may satisfy its obligations under this </w:t>
      </w:r>
      <w:r>
        <w:rPr>
          <w:rFonts w:ascii="Times New Roman;Times;Serif" w:hAnsi="Times New Roman;Times;Serif"/>
          <w:b w:val="false"/>
          <w:i w:val="false"/>
          <w:caps w:val="false"/>
          <w:smallCaps w:val="false"/>
          <w:sz w:val="20"/>
          <w:u w:val="single"/>
        </w:rPr>
        <w:t>Section 7(k)</w:t>
      </w:r>
      <w:r>
        <w:rPr>
          <w:rFonts w:ascii="Times New Roman;Times;Serif" w:hAnsi="Times New Roman;Times;Serif"/>
          <w:b w:val="false"/>
          <w:i w:val="false"/>
          <w:caps w:val="false"/>
          <w:smallCaps w:val="false"/>
          <w:sz w:val="20"/>
        </w:rPr>
        <w:t xml:space="preserve"> by effecting a filing in accordance with the Exchange Act with respect to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Each time during the term of this Agreement that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amends or supplements (other than a prospectus supplement relating solely to an offering of securities other than the Placement Shares or a prospectus supplement filed in accordance with </w:t>
      </w:r>
      <w:r>
        <w:rPr>
          <w:rFonts w:ascii="Times New Roman;Times;Serif" w:hAnsi="Times New Roman;Times;Serif"/>
          <w:b w:val="false"/>
          <w:i w:val="false"/>
          <w:caps w:val="false"/>
          <w:smallCaps w:val="false"/>
          <w:sz w:val="20"/>
          <w:u w:val="single"/>
        </w:rPr>
        <w:t>Section 7(k)</w:t>
      </w:r>
      <w:r>
        <w:rPr>
          <w:rFonts w:ascii="Times New Roman;Times;Serif" w:hAnsi="Times New Roman;Times;Serif"/>
          <w:b w:val="false"/>
          <w:i w:val="false"/>
          <w:caps w:val="false"/>
          <w:smallCaps w:val="false"/>
          <w:sz w:val="20"/>
        </w:rPr>
        <w:t xml:space="preserve"> of this Agreement)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files an annual report on Form 20-F under the Exchange Act (including any Form 20-F/A containing amended audited financial information or a material amendment to the previously filed Form 20-F);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files a current report on Form 6-K containing unaudited interim financial statements under the Exchange Act incorporated by reference into the Registration Statement or Prospectus;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files a current report on Form 6-K containing amended financial information under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date of filing of one or more of the documents referred to in clauses (i) through (iv) shall be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furnish the Agent (but in the case of clause (iv) above only if the Agent reasonably determines that the information contained in such Form 6-K is material)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within five (5) Trading Days of any Representation Date. The requirement to provide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shall be automatically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20-F. Notwithstanding the foregoing, (i) upon the delivery of the first Placement Notice hereunder and (ii) if the Company subsequently decides to sell Placement Shares following a Representation Date when the Company relied on such waiver and did not provide the Agent with a certificate under this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then before the Agent sells any Placement Shares, the Company shall provide the Agent with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dated the date of the Placement Notice.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On or prior to the date of the first Placement Notice given hereunder the Company shall cause to be furnished to the Agent (i) a written opinion and a negative assurance letter of Hunter Taubman Fischer &amp; Li LLC or another US counsel of the Company (“</w:t>
      </w:r>
      <w:r>
        <w:rPr>
          <w:rFonts w:ascii="Times New Roman;Times;Serif" w:hAnsi="Times New Roman;Times;Serif"/>
          <w:b w:val="false"/>
          <w:i w:val="false"/>
          <w:caps w:val="false"/>
          <w:smallCaps w:val="false"/>
          <w:sz w:val="20"/>
          <w:u w:val="single"/>
        </w:rPr>
        <w:t>Company US Counsel</w:t>
      </w:r>
      <w:r>
        <w:rPr>
          <w:rFonts w:ascii="Times New Roman;Times;Serif" w:hAnsi="Times New Roman;Times;Serif"/>
          <w:b w:val="false"/>
          <w:i w:val="false"/>
          <w:caps w:val="false"/>
          <w:smallCaps w:val="false"/>
          <w:sz w:val="20"/>
        </w:rPr>
        <w:t>”), and (ii) a written opinion of Conyers Dill &amp; Pearman (“</w:t>
      </w:r>
      <w:r>
        <w:rPr>
          <w:rFonts w:ascii="Times New Roman;Times;Serif" w:hAnsi="Times New Roman;Times;Serif"/>
          <w:b w:val="false"/>
          <w:i w:val="false"/>
          <w:caps w:val="false"/>
          <w:smallCaps w:val="false"/>
          <w:sz w:val="20"/>
          <w:u w:val="single"/>
        </w:rPr>
        <w:t>Company Cayman Islands Counsel</w:t>
      </w:r>
      <w:r>
        <w:rPr>
          <w:rFonts w:ascii="Times New Roman;Times;Serif" w:hAnsi="Times New Roman;Times;Serif"/>
          <w:b w:val="false"/>
          <w:i w:val="false"/>
          <w:caps w:val="false"/>
          <w:smallCaps w:val="false"/>
          <w:sz w:val="20"/>
        </w:rPr>
        <w:t>” and together with Company US Counsel, the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or other counsel reasonably satisfactory to the Agent, each in form and substance reasonably satisfactory to the Agent. Thereafter, within five (5) Trading Days of each Representation Date with respect to which the Company is obligated to deliver a certificate in the form attached hereto as Exhibit 7(l) for which no waiver is applicable, the Company shall cause to be furnished to the Agent a negative assurance letter of Company US Counsel, substantially in the forms previously delivered to and accepted by the Agent, modified, as necessary, to relate to the Registration Statement and the Prospectus as then amended or supplemented, and, if reasonably requested by the Agent based on changes in law, facts, corporate authorization, share capital, listing status or other matters covered by the initial opinions, updated written opinions of applicable Company Counsel substantially in the forms previously delivered to and accepted by the Agent; provided that, in lieu of such legal opinion or negative assurance letter for subsequent periodic filings under the Exchange Act, such Company Counsel may furnish the Agent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to the effect that the Agent may rely on the legal opinion or negative assurance letter previously delivered under this Section 7(m) to the same extent as if it were dated the date of such letter (except that statements in such prior letter shall be deemed to relate to the Registration Statement and the Prospectus as amended or supplemented as of the date of the Reliance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xml:space="preserve">. On or prior to the date of the first Placement Notice given hereunder and within five (5) Trading Days after each subsequent Representation Date with respect to which the Company is obligated to deliver a certificate in the form attached hereto as </w:t>
      </w:r>
      <w:r>
        <w:rPr>
          <w:rFonts w:ascii="Times New Roman;Times;Serif" w:hAnsi="Times New Roman;Times;Serif"/>
          <w:b w:val="false"/>
          <w:i w:val="false"/>
          <w:caps w:val="false"/>
          <w:smallCaps w:val="false"/>
          <w:sz w:val="20"/>
          <w:u w:val="single"/>
        </w:rPr>
        <w:t>Exhibit 7(l)</w:t>
      </w:r>
      <w:r>
        <w:rPr>
          <w:rFonts w:ascii="Times New Roman;Times;Serif" w:hAnsi="Times New Roman;Times;Serif"/>
          <w:b w:val="false"/>
          <w:i w:val="false"/>
          <w:caps w:val="false"/>
          <w:smallCaps w:val="false"/>
          <w:sz w:val="20"/>
        </w:rPr>
        <w:t xml:space="preserve"> for which no waiver is applicable, other than pursuant to Section 7(l)(iii) or Section 7(l)(iv), unless with respect to a Representation Date under Section 7(l)(iii) or Section 7(l)(iv) the Agent reasonably requests delivery thereof, the Company shall cause the Accountants to furnish the Agent letters (the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xml:space="preserve">”), dated the date the Comfort Letter is delivered, which shall meet the requirements set forth in this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The Comfort Letter from the Accountants shall be in a form and substance reasonably satisfactory to the Agent, (i) confirming that they are an independent public accounting firm within the meaning of the Securities Act and the Public Company Accounting Oversight Board (the “</w:t>
      </w:r>
      <w:r>
        <w:rPr>
          <w:rFonts w:ascii="Times New Roman;Times;Serif" w:hAnsi="Times New Roman;Times;Serif"/>
          <w:b w:val="false"/>
          <w:i w:val="false"/>
          <w:caps w:val="false"/>
          <w:smallCaps w:val="false"/>
          <w:sz w:val="20"/>
          <w:u w:val="single"/>
        </w:rPr>
        <w:t>PCAOB</w:t>
      </w:r>
      <w:r>
        <w:rPr>
          <w:rFonts w:ascii="Times New Roman;Times;Serif" w:hAnsi="Times New Roman;Times;Serif"/>
          <w:b w:val="false"/>
          <w:i w:val="false"/>
          <w:caps w:val="false"/>
          <w:smallCaps w:val="false"/>
          <w:sz w:val="20"/>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val="false"/>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Notwithstanding the foregoing, with the Agent’s consent, at its sole discretion, on or prior to the date of the first Placement Notice given hereunder and within five (5) Trading Days after each subsequent Representation Date, the Company can deliver a CFO certificate in the form of Exhibit 7(n) (the “</w:t>
      </w:r>
      <w:r>
        <w:rPr>
          <w:rFonts w:ascii="Times New Roman;Times;Serif" w:hAnsi="Times New Roman;Times;Serif"/>
          <w:b w:val="false"/>
          <w:i w:val="false"/>
          <w:caps w:val="false"/>
          <w:smallCaps w:val="false"/>
          <w:sz w:val="20"/>
          <w:u w:val="single"/>
        </w:rPr>
        <w:t>CFO Certificate</w:t>
      </w:r>
      <w:r>
        <w:rPr>
          <w:rFonts w:ascii="Times New Roman;Times;Serif" w:hAnsi="Times New Roman;Times;Serif"/>
          <w:b w:val="false"/>
          <w:i w:val="false"/>
          <w:caps w:val="false"/>
          <w:smallCaps w:val="false"/>
          <w:sz w:val="20"/>
        </w:rPr>
        <w:t>”) in lieu of the Initial Comfort Letter or any subsequent Comfort Letters; provided that the Company will cause the Accountants to furnish the Comfort Letters within ten (10) calendar days after the date of the CFO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would constitute, the stabilization or manipulation of the price of any security of the Company to facilitate the sale or resale of the Placement Shares or (ii) sell, bid for, or purchase Ordinary Shares to be issued and sold pursuant to this Agreement in violation of Regulation M, or pay anyone any compensation for soliciting purchases of the Placement Shares other than the Agent. The Company shall not engage in stabilization, price support, coordinated aftermarket activity, market manipulation, wash trading, matched orders, directed trading, coordinated investor communication or any other activity designed to influence the trading price or volume of the Ordinary Shares in connection with the ATM Program. The Company shall not influence trading behavior, encourage trading through informal or off-channel communications, compensate any person for soliciting purchases of the Placement Shares other than the Agent as expressly permitted by this Agreement, or take any action that would reasonably be expected to violate Regulation M, FINRA rules, Nasdaq rules, the Securities Act, the Exchange Act, PRC law, Cayman Islands law or any other applicable securities law. The Company will not (i) provide the Agent with any targeted investor list, (ii) direct sales to specific persons, accounts or groups, (iii) coordinate investor participation in the ATM Program, (iv) encourage or arrange purchases by affiliates, related parties, officers, directors, employees, consultants, promoters, vendors, customers or strategic partners, or (v) use any nominee, omnibus, pass-through or coordinated account structure to facilitate purchases of Placement Shares or trading in the Ordinary Shares. The Company shall promptly disclose to the Agent any knowledge of unusual investor concentration, coordinated trading behavior, promotional activity, off-channel communications encouraging trading, or any third-party activity that could affect orderly trading in the Ordinary Shares. The Company shall not request any action by the Agent that the Company knows or reasonably should know would violate Regulation M, FINRA rules, Nasdaq rules, the Securities Act, the Exchange Act, or other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neither it nor the Subsidiaries will be or become, at any time prior to the termination of this Agreement, an “investment company,” as such term is defined in the Investment Company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xml:space="preserve">. Other than an Issuer Free Writing Prospectus approved in advance by the Company and the Agent in its capacity as agent hereunder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neither the Agent nor the Company (including its agents and representatives, other than the Agent in its capacity as such) will make, use, prepare, authorize, approve or refer to any written communication (as defined in Rule 405), required to be filed with the Commission, that constitutes an offer to sell or solicitation of an offer to buy Placement Shares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disclosure controls and procedures that comply with the requirements of the Exchange Act.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FINRA Rule 5110</w:t>
      </w:r>
      <w:r>
        <w:rPr>
          <w:rFonts w:ascii="Times New Roman;Times;Serif" w:hAnsi="Times New Roman;Times;Serif"/>
          <w:b w:val="false"/>
          <w:i w:val="false"/>
          <w:caps w:val="false"/>
          <w:smallCaps w:val="false"/>
          <w:sz w:val="20"/>
        </w:rPr>
        <w:t>. Prior to the first sale of Placement Shares and at any other time reasonably requested by the Agent, the Company shall provide the Agent with written confirmation from the Company or Company counsel, in form and substance reasonably satisfactory to the Agent, that either (i) the Company qualifies as an “experienced issuer” under FINRA Rule 5110(j), or (ii) any FINRA filing, notice, review, no-objections process or other action required in connection with the ATM Program has been completed, cleared, waived or is not required. The Company shall promptly provide the Agent with all information reasonably requested by the Agent or its counsel to verify the Company’s FINRA Rule 5110 status, including information regarding the Company’s reporting history, non-affiliate market value, trading volume, prior public offerings, offering compensation, related arrangements, reimbursable expenses and any other item relevant to FINRA underwriting compensation analysis.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Social Media and Promotion Restrictions</w:t>
      </w:r>
      <w:r>
        <w:rPr>
          <w:rFonts w:ascii="Times New Roman;Times;Serif" w:hAnsi="Times New Roman;Times;Serif"/>
          <w:b w:val="false"/>
          <w:i w:val="false"/>
          <w:caps w:val="false"/>
          <w:smallCaps w:val="false"/>
          <w:sz w:val="20"/>
        </w:rPr>
        <w:t>. The Company shall not engage in coordinated social media promotion campaigns, group-based trading inducement, issuer-sponsored investor groups, undisclosed third-party marketing efforts, paid touting, promotional newsletters, online chatroom campaigns, or other communications through social media or messaging platforms for the purpose of encouraging trading in the Ordinary Shares or facilitating sale under the ATM Program; provided that the Company shall not be prohibited or restricted from publishing, releasing or disseminating any press release, statement or report regarding its business, financial condition, results of operation, cash flows and prospects in the ordinary course of business. The Company shall promptly notify the Agent of any known promotional activity, third-party communications encouraging trading, rumor-based trading, influencer activity, online campaign, trading group activity or issuer-related social media activity relating to the Ordinary Shares or the ATM Program, whether or not initiated or authorized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Tail</w:t>
      </w:r>
      <w:r>
        <w:rPr>
          <w:rFonts w:ascii="Times New Roman;Times;Serif" w:hAnsi="Times New Roman;Times;Serif"/>
          <w:b w:val="false"/>
          <w:i w:val="false"/>
          <w:caps w:val="false"/>
          <w:smallCaps w:val="false"/>
          <w:sz w:val="20"/>
        </w:rPr>
        <w:t>. If, within twelve (12) months following the expiration or termination of this Agreement (the “</w:t>
      </w:r>
      <w:r>
        <w:rPr>
          <w:rFonts w:ascii="Times New Roman;Times;Serif" w:hAnsi="Times New Roman;Times;Serif"/>
          <w:b w:val="false"/>
          <w:i w:val="false"/>
          <w:caps w:val="false"/>
          <w:smallCaps w:val="false"/>
          <w:sz w:val="20"/>
          <w:u w:val="single"/>
        </w:rPr>
        <w:t>Tail Period</w:t>
      </w:r>
      <w:r>
        <w:rPr>
          <w:rFonts w:ascii="Times New Roman;Times;Serif" w:hAnsi="Times New Roman;Times;Serif"/>
          <w:b w:val="false"/>
          <w:i w:val="false"/>
          <w:caps w:val="false"/>
          <w:smallCaps w:val="false"/>
          <w:sz w:val="20"/>
        </w:rPr>
        <w:t xml:space="preserve">”), the Company sells any Ordinary Shares in an at-the-market offering or other offering pursuant to any registration statement, prospectus or offering documentation established, maintained or serviced by Chaince during the term of this Agreement, or completes any subsequent at-the-market offering with any party introduced to the Company by Chaince, or with which discussions were held by or on behalf of the Company with Chaince’s assistance during the term of this Agreement, then the Company shall pay Chaince, upon each settlement or closing of such transaction, a cash fee equal to 3.0% of the gross proceeds thereof, in each case as provided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and as if such sale had been effected through Chaince under this Agreement. In accordance with FINRA Rule 5110(g)(5)(B), no amounts shall be payable under this Section 7(w) following any termination by the Company for cause in compliance with FINRA Rule 5110(g)(5)(B)(i).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Representations and Covenants of the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represents and warrants that it is duly registered as a broker-dealer under FINRA, the Exchange Act and the applicable statutes and regulations of each state in which the Placement Shares will be offered and sold, except such states in which such Agent is exempt from registration or such registration is not otherwise required. The Agent shall continue, for the term of this Agreement, to be duly registered as a broker-dealer under FINRA, the Exchange Act and the applicable statutes and regulations of each state in which the Placement Shares will be offered and sold, except such states in which it is exempt from registration or such registration is not otherwise required, during the term of this Agreement. The Agent shall comply with all applicable law and regulations in connection with the transactions contemplated by this Agreement, including the issuance and sale through such Agent of the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shall not execute privately negotiated transactions, block trades, agency crosses or other non-open-market transactions in lieu of open market sales unless (i) the Company has provided prior written consent, which may be by email, (ii) the Agent has determined, in its reasonable judgment, that such execution is permitted by this Agreement, the Registration Statement, the Prospectus, the Prospectus Supplement, Rule 415, Nasdaq rules, FINRA rules and applicable law, (iii) all required regulatory approvals and internal approvals have been obtained. To the extent any alternative execution is permitted and mutually agreed, the Agent shall seek to obtain pricing terms comparable to or better than prevailing open market prices, taking into account liquidity, block size, market conditions, transaction structure, investor demand and regulatory requirements. Nothing in this Section 8(b) shall permit directed selling, Company-coordinated investors, undisclosed investor arrangements, stabilization, market manipulation, or any activity inconsistent with this Agreement, Regulation M, FINRA rules, Nasdaq rules or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keep the Company reasonably informed of material changes in market conditions known to the Agent that may affect the execution of Placement Notices, to the extent the Agent is not prohibited from doing so by applicable law, regulation, regulatory instruction, confidentiality obligation or supervisory procedure.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Agent shall provide the Company with weekly summary reports and such other reports as may be reasonably requested by the Company from time to time, limited to information reasonably available from the executing broker’s settlement statements and trade confirmations, and subject to applicable law, regulation, regulatory instruction, confidentiality obligations, clearing broker requirements and the Agent’s supervisory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Agent shall not exercise its discretionary rights hereunder in a manner that is arbitrary, capricious, or designed to frustrate the Company’s legitimate financing objectives, subject in all cases to the Agent’s regulatory obligations, supervisory procedures, market conditions, clearing requirements and risk-management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The Company will pay all expenses incidental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Free Writing Prospectus, in such number as the Agent shall deem reasonably necessary, (ii) the printing and delivery to the Agent of this Agreement and such other documents as may be required in connection with the offering, purchase, sale or issuance of the Placement Shares, (iii) the preparation, issuance and delivery of the certificates, if any, for the Placement Shares to the Agent, including any stock or other transfer taxes and any capital duties, stamp duties or other duties or taxes payable upon the sale or issuance of the Placement Shares to the Agent, (iv) the fees and disbursements of the counsel, accountants and other advisors to the Company, (v) the reasonable and documented out-of-pocket fees and disbursements of counsel to the Agent (A) not to exceed $50,000 in connection with the negotiation, execution and initial implementation of this Agreement and the transactions contemplated hereby, and (B) not to exceed $3,000 for each Representation Date with respect to which the Company is required to provide a certificate under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together with any related opinions, negative assurance letters, reliance letters, comfort letters or other deliverables required under </w:t>
      </w:r>
      <w:r>
        <w:rPr>
          <w:rFonts w:ascii="Times New Roman;Times;Serif" w:hAnsi="Times New Roman;Times;Serif"/>
          <w:b w:val="false"/>
          <w:i w:val="false"/>
          <w:caps w:val="false"/>
          <w:smallCaps w:val="false"/>
          <w:sz w:val="20"/>
          <w:u w:val="single"/>
        </w:rPr>
        <w:t>Sections 7(m)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with such amount payable upon each such Representation Date and not in arrears; provided that amounts payable under clause (v)(B) are separate from, and not subject to, the cap set forth in clause (v)(A), (vi) the fees and expenses of the transfer agent and registrar for the Ordinary Shares, (vii) the filing fees incident to any review by FINRA of the terms of the sale of the Placement Shares, (viii) the fees and expenses incurred in connection with the listing of the Placement Shares on the Exchange. By execution of this Agreement, the Company shall pay to the Agent $30,000 as an advance toward the fees and disbursements of counsel to the Agent (the “Legal Fee Advance”), which shall be credited against the cap set forth in clause (v)(A) above. Any portion of the Legal Fee Advance not actually incurred for such fees and disbursements shall be reimbursed to the Company, consistent with FINRA Rule 5110(g)(4)(A). Such fees and disbursements shall be invoiced by the Agent to the Company (accompanied by reasonable supporting documentation from such counsel), and the Company shall pay such amounts to the Agent within fifteen (15) days of receipt of each invoice. Such fees and disbursements shall not be deducted from, or credited against, the Expense Allowance (as defined in Schedule 2), which is in addition to, and does not include, the fees and expenses of the Agent’s legal counsel. In the event that an offering and sale of the Placement Shares pursuant to this Agreement shall not be carried out for any reason whatsoever, the Company shall remain obligated to pay the actual and accountable out-of-pocket expenses incurred by the Agent in connection with the offering, including the reasonable and documented fees and disbursements of counsel to the Agent, up to an aggregate amount of $50,000; provided that such $50,000 cap shall be inclusive of, and not in addition to, any amounts paid or payable pursuant to clause (v)(A) above, including the Legal Fee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Conditions to the Agent’s Obligations</w:t>
      </w:r>
      <w:r>
        <w:rPr>
          <w:rFonts w:ascii="Times New Roman;Times;Serif" w:hAnsi="Times New Roman;Times;Serif"/>
          <w:b w:val="false"/>
          <w:i w:val="false"/>
          <w:caps w:val="false"/>
          <w:smallCaps w:val="false"/>
          <w:sz w:val="20"/>
        </w:rPr>
        <w:t>. The obligations of the Agent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the Agent of a due diligence review satisfactory to it in its reasonable judgment, and to the continuing reasonable satisfaction (or waiver by the Agent in its sole discretion) of the following additional conditions:</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be effective and shall be available for the sale of all Placement Shares contemplated to be issued by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of, or a threat to initiate,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Times;Serif" w:hAnsi="Times New Roman;Times;Serif"/>
          <w:b w:val="false"/>
          <w:i w:val="false"/>
          <w:caps w:val="false"/>
          <w:smallCaps w:val="false"/>
          <w:sz w:val="20"/>
          <w:u w:val="single"/>
        </w:rPr>
        <w:t>Rating Organization</w:t>
      </w:r>
      <w:r>
        <w:rPr>
          <w:rFonts w:ascii="Times New Roman;Times;Serif" w:hAnsi="Times New Roman;Times;Serif"/>
          <w:b w:val="false"/>
          <w:i w:val="false"/>
          <w:caps w:val="false"/>
          <w:smallCaps w:val="false"/>
          <w:sz w:val="20"/>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Company Counsel Legal Opinion</w:t>
      </w:r>
      <w:r>
        <w:rPr>
          <w:rFonts w:ascii="Times New Roman;Times;Serif" w:hAnsi="Times New Roman;Times;Serif"/>
          <w:b w:val="false"/>
          <w:i w:val="false"/>
          <w:caps w:val="false"/>
          <w:smallCaps w:val="false"/>
          <w:sz w:val="20"/>
        </w:rPr>
        <w:t xml:space="preserve">. The Agent shall have received the opinion and negative assurance letter of Company Counsel required to be delivered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 xml:space="preserve"> on or before the date on which such delivery of such opinion and negative assurance letter are required pursuant to </w:t>
      </w:r>
      <w:r>
        <w:rPr>
          <w:rFonts w:ascii="Times New Roman;Times;Serif" w:hAnsi="Times New Roman;Times;Serif"/>
          <w:b w:val="false"/>
          <w:i w:val="false"/>
          <w:caps w:val="false"/>
          <w:smallCaps w:val="false"/>
          <w:sz w:val="20"/>
          <w:u w:val="single"/>
        </w:rPr>
        <w:t>Section 7(m)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Comfort Letter; CFO Certificate</w:t>
      </w:r>
      <w:r>
        <w:rPr>
          <w:rFonts w:ascii="Times New Roman;Times;Serif" w:hAnsi="Times New Roman;Times;Serif"/>
          <w:b w:val="false"/>
          <w:i w:val="false"/>
          <w:caps w:val="false"/>
          <w:smallCaps w:val="false"/>
          <w:sz w:val="20"/>
        </w:rPr>
        <w:t xml:space="preserve">. The Agent shall have received either (i) the Comfort Letter required to be delivered pursuant </w:t>
      </w:r>
      <w:r>
        <w:rPr>
          <w:rFonts w:ascii="Times New Roman;Times;Serif" w:hAnsi="Times New Roman;Times;Serif"/>
          <w:b w:val="false"/>
          <w:i w:val="false"/>
          <w:caps w:val="false"/>
          <w:smallCaps w:val="false"/>
          <w:sz w:val="20"/>
          <w:u w:val="single"/>
        </w:rPr>
        <w:t>Section 7(n)</w:t>
      </w:r>
      <w:r>
        <w:rPr>
          <w:rFonts w:ascii="Times New Roman;Times;Serif" w:hAnsi="Times New Roman;Times;Serif"/>
          <w:b w:val="false"/>
          <w:i w:val="false"/>
          <w:caps w:val="false"/>
          <w:smallCaps w:val="false"/>
          <w:sz w:val="20"/>
        </w:rPr>
        <w:t xml:space="preserve">, or (ii) the duly-executed CFO Certificate on or before the date on which such delivery of such letter is required pursuant to </w:t>
      </w:r>
      <w:r>
        <w:rPr>
          <w:rFonts w:ascii="Times New Roman;Times;Serif" w:hAnsi="Times New Roman;Times;Serif"/>
          <w:b w:val="false"/>
          <w:i w:val="false"/>
          <w:caps w:val="false"/>
          <w:smallCaps w:val="false"/>
          <w:sz w:val="20"/>
          <w:u w:val="single"/>
        </w:rPr>
        <w:t>Section 7(n); provided that the Comfort Letter will be delivered within thirty (30) calendar days of the date of CFO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xml:space="preserve">. The Agent shall have received the certificate required to be delivered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On or prior to the first Representation Date, the Agent shall have received a certificate, signed on behalf of the Company by an officer of the Company, in form and substance reasonably satisfactory to the Agent and its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Ordinary Shares shall not have been suspended on the Exchange and the Ordinary Shares shall not have been delisted from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xml:space="preserve">. On each date on which the Company is required to deliver a certificate pursuant to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the Company shall have furnished to the Agent such appropriate further information, certificates and documents as the Agent may reasonably request and which are usually and customarily furnished by an issuer of securities in connection with a securities offering of the type contemplated hereby. All such opinions, certificates, letters and other documents will be in compliance with the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xml:space="preserve">. There shall not have occurred any event that would permit the Agent to terminate this Agreement pursuant to </w:t>
      </w:r>
      <w:r>
        <w:rPr>
          <w:rFonts w:ascii="Times New Roman;Times;Serif" w:hAnsi="Times New Roman;Times;Serif"/>
          <w:b w:val="false"/>
          <w:i w:val="false"/>
          <w:caps w:val="false"/>
          <w:smallCaps w:val="false"/>
          <w:sz w:val="20"/>
          <w:u w:val="single"/>
        </w:rPr>
        <w:t>Section 13(a)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to the fullest extent permitted by applicable law the Agent, its partners, members, directors, officers, employees and agents and each person, if any, who controls the Agent within the meaning of Section 15 of the Securities Act or Section 20 of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Placement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arise out of or are based upon any proceeding, commenced or threatened (whether or not the Agent is a target of or party to such proceeding) or result from or relate to any breach of any of the representations, warranties, covenants or agreements made by the Company in this Agreement, including any inaccuracy in or breach of the Company’s representations and warranties relating to financial statements, interim financial data, internal controls or the CFO Certificate, and agrees to reimburse each such indemnified party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Agent specifically for inclusion therein. This indemnity agreement will be in addition to any liability that the Company may otherwise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the Agent</w:t>
      </w:r>
      <w:r>
        <w:rPr>
          <w:rFonts w:ascii="Times New Roman;Times;Serif" w:hAnsi="Times New Roman;Times;Serif"/>
          <w:b w:val="false"/>
          <w:i w:val="false"/>
          <w:caps w:val="false"/>
          <w:smallCaps w:val="false"/>
          <w:sz w:val="20"/>
        </w:rPr>
        <w:t>. The Agent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the Agent, but only with reference to written information relating to the Agent furnished to the Company by the Agent specifically for inclusion in the documents referred to in the foregoing indemnity; provided, however, that in no case shall the Agent be responsible for any amount in excess of the commissions received by the Agent under this Agreement and paid hereunder. This indemnity agreement will be in addition to any liability which the Agent may otherwise have.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Promptly after receipt by an indemnified party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notice of the commencement of any action, such indemnified party will, if a claim in respect thereof is to be made against the indemnifying party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any statement as to or admission of fault, culpability or failure to act by or on behalf of any indemnified party.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the event that the indemnity provided in paragraphs (a), (b) or (c)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is unavailable to or insufficient to hold harmless an indemnified party for any reason, the Company and the Agent agree to contribute to the aggregate losses, claims, damages, liabilities and expenses (including legal or other expenses reasonably incurred in connection with investigating or defending the same) (collectively, “Losses”) to which the Company and the Agent may be subject in such proportion as is appropriate to reflect the relative benefits received by the Company on the one hand and by the Agent on the other from the offering of the Placement Shares; provided, however, that in no case shall the Agent be required to contribute any amount in excess of the commissions received by the Agent under this Agreement and paid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allocation provided by the immediately preceding sentence is unavailable for any reason, the Company and the Agent severally shall contribute in such proportion as is appropriate to reflect not only such relative benefits but also the relative fault of the Company on the one hand and of the Agent on the other in connection with the matters that resulted in such Losses, as well as any other relevant equitable considerations. Benefits received by the Company shall be deemed to be equal to the total Net Proceeds from the offering of the Placement Shares (before deducting expenses) received by it, and benefits received by the Agent shall be deemed to be equal to the commissions received by the Agent under this Agreement and paid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fault shall be determined by reference to, among other things, the nature of the conduct giving rise to such Losses, including, where applicable, whether any untrue or alleged untrue statement of a material fact or omission or alleged omission to state a material fact relates to information provided by the Company on the one hand or the Agent on the other, the intent of the parties and their relative knowledge, access to information and opportunity to correct or prevent the circumstances giving rise to such Losses. The Company and the Agent agree that it would not be just and equitable if contribution were determined by pro rata allocation or any other method of allocation that does not take account of the equitable considerations referred to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11, each person who controls the Agent within the meaning of either the Securities Act or the Exchange Act and each partner, director, officer, employee and agent of the Agent shall have the same rights to contribution as the Agent,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Non-Waiver Upon Receipt of Diligence</w:t>
      </w:r>
      <w:r>
        <w:rPr>
          <w:rFonts w:ascii="Times New Roman;Times;Serif" w:hAnsi="Times New Roman;Times;Serif"/>
          <w:b w:val="false"/>
          <w:i w:val="false"/>
          <w:caps w:val="false"/>
          <w:smallCaps w:val="false"/>
          <w:sz w:val="20"/>
        </w:rPr>
        <w:t xml:space="preserve">. The Agent’s receipt of certificates, opinions, comfort letters or other diligence materials shall not limit the Company’s indemnification obligations or waive any right of the Agent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Engagement Letter Indemnification</w:t>
      </w:r>
      <w:r>
        <w:rPr>
          <w:rFonts w:ascii="Times New Roman;Times;Serif" w:hAnsi="Times New Roman;Times;Serif"/>
          <w:b w:val="false"/>
          <w:i w:val="false"/>
          <w:caps w:val="false"/>
          <w:smallCaps w:val="false"/>
          <w:sz w:val="20"/>
        </w:rPr>
        <w:t>. Notwithstanding anything to the contrary in this Agreement, the indemnification, reimbursement and contribution rights of the Agent and the other Indemnified Persons (as defined in the Engagement Letter) under the Engagement Letter shall remain in full force and effect and shall be in addition to, and not in limitation of, the rights provided under this Section 11.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11 of this Agreement and all representations and warranties of the Company herein or in certificates delivered pursuant hereto shall survive, regardless of (i) any investigation made by or on behalf of the Agent, any controlling persons, or the Company (or any of their respective officers, directors or controlling persons), (ii) acceptance of the Placement Shares and payment therefor or (iii) any termination of this Agreement.</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shall remain in full force and effect until terminated in accordance with this Section 13. The Agent may terminate this Agreement, by written notice to the Company, as hereinafter specified at any time (1) if there has been, since the time of execution of this Agreement or since the date as of which information is given in the Prospectus, any Material Adverse Effect, or any development that would have a Material Adverse Effect that, in the reasonable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Ordinary Shares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9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 If the Agent elects to terminate this Agreement as provided in this Section 13(a), such Agent shall provide the required written notice as specified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(Notices).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the right, by giving five (5) days’ notice as hereinafter specified to terminate this Agreement with respect to the Agent in its sole discretion at any time after the date of this Agreement. Any such termination shall be without liability of any party to any other party except that the provisions of Sections 7(w) (Tail),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Agent shall have the right, by giving five (5) Business Days’ notice as hereinafter specified to terminate this Agreement in its sole discretion at any time after the date of this Agreement. Any such termination shall be without liability of any party to any other party except that the provisions of Sections 7(w) (Tail),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hereof shall remain in full force and effect notwithstanding such termination, in each case subject to the terms and limitations expressly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issuance and sale of Placement Shares from time to time shall not, by itself, result in an automatic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shall remain in full force and effect unless terminated pursuant to </w:t>
      </w:r>
      <w:r>
        <w:rPr>
          <w:rFonts w:ascii="Times New Roman;Times;Serif" w:hAnsi="Times New Roman;Times;Serif"/>
          <w:b w:val="false"/>
          <w:i w:val="false"/>
          <w:caps w:val="false"/>
          <w:smallCaps w:val="false"/>
          <w:sz w:val="20"/>
          <w:u w:val="single"/>
        </w:rPr>
        <w:t>Sections 13(a)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or otherwise by mutual agreement of the parties;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such termination by mutual agreement shall in all cases be deemed to provide that Section 7(w) (Tail),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(Payment of Expenses),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(Indemnification and Contribution),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(Representations and Agreements to Survive Delivery),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(Governing Law and Time; Waiver of Jury Trial) and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(Consent to Jurisdiction) shall remain in full force and effect. Upon termination of this Agreement, the Company shall not have any liability to the Agent for any discount, commission or other compensation with respect to any Placement Shares not otherwise sold by the Agent under this Agreement, except for any amounts payable pursuant to Section 7(w). Notwithstanding Section 13(d), unless earlier terminated in accordance with this Section 13, this Agreement shall terminate automatically upon the earlier of (i) September 26, 2027, being the first anniversary of the date of the Engagement Letter, and (ii) the issuance and sale of Placement Shares in an aggregate amount equal to the Maximum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termination of this Agreement shall be effective on the date specified in such notice of termination;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8" w:right="0" w:firstLine="7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Chaince Securities,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 Avenue of the Americas, 41st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Wilfred Daye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Sichenzia Ross Ference Carmel LLP</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26th floor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Shane Wu, Esq.</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1910-1912A, Tower 3, China Hong Kong City</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Canton Road, Tsim Sha Tsui, Kowloon, Hong Kong Attn: Ling Ngai Lok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Hunter Taubman Fischer &amp; Li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19th Floor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Joan Wu</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other parties to this Agreement written notice of a new address for such purpose. Each such notice or other communication shall be deemed given (i) when delivered personally, by email, or by verifiable facsimile transmission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Company and the Agent and its successors and the affiliates, controlling persons, officers and directors referred to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 may assign its rights or obligations under this Agreement without the prior written consent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Adjustments for Share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share consolidation, share split, dividend, corporate domestication or similar event effected with respect to the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together with the engagement letter dated September 26, 2026 between the Company and the Agent (the “</w:t>
      </w:r>
      <w:r>
        <w:rPr>
          <w:rFonts w:ascii="Times New Roman;Times;Serif" w:hAnsi="Times New Roman;Times;Serif"/>
          <w:b w:val="false"/>
          <w:i w:val="false"/>
          <w:caps w:val="false"/>
          <w:smallCaps w:val="false"/>
          <w:sz w:val="20"/>
          <w:u w:val="single"/>
        </w:rPr>
        <w:t>Engagement Letter</w:t>
      </w:r>
      <w:r>
        <w:rPr>
          <w:rFonts w:ascii="Times New Roman;Times;Serif" w:hAnsi="Times New Roman;Times;Serif"/>
          <w:b w:val="false"/>
          <w:i w:val="false"/>
          <w:caps w:val="false"/>
          <w:smallCaps w:val="false"/>
          <w:sz w:val="20"/>
        </w:rPr>
        <w:t>”), constitutes the entire agreement and supersedes all other prior and contemporaneous agreements and undertakings, both written and oral, among the parties hereto with regard to the subject matter hereof; provided that, to the extent of any conflict between this Agreement and the Engagement Letter, the Engagement Letter shall control with respect to the matters specified in Paragraph D(1) thereof, and this Agreement shall control in all other respects; provided further that Section 7(w) (Tail) shall control over Paragraph A(5) of the Engagement Letter.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18" w:right="0" w:firstLine="79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GOVERNING LAW AND TIME; WAIVER OF JURY TRIAL</w:t>
      </w:r>
      <w:r>
        <w:rPr>
          <w:rFonts w:ascii="Times New Roman;Times;Serif" w:hAnsi="Times New Roman;Times;Serif"/>
          <w:b w:val="false"/>
          <w:i w:val="false"/>
          <w:caps w:val="false"/>
          <w:smallCaps w:val="false"/>
          <w:sz w:val="20"/>
        </w:rPr>
        <w:t>. THIS AGREEMENT SHALL BE GOVERNED BY AND CONSTRUED IN ACCORDANCE WITH THE LAWS OF THE STATE OF NEW YORK WITHOUT REGARD TO THE PRINCIPLES OF CONFLICTS OF LAWS. SPECIFIED TIMES OF DAY REFER TO NEW YORK CITY TIME. THE COMPANY AND THE AGENT EACH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EACH PARTY HEREBY IRREVOCABLY SUBMITS TO THE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THE COMPANY SHALL HAVE IRREVOCABLY APPOINTED AND MAINTAINED AN AGENT FOR SERVICE OF PROCESS LOCATED IN THE BOROUGH OF MANHATTAN, CITY AND STATE OF NEW YORK, REASONABLY ACCEPTABLE TO THE AGENT (THE “PROCESS AGENT”). THE COMPANY SHALL PROVIDE THE AGENT WITH WRITTEN EVIDENCE OF SUCH APPOINTMENT AND THE PROCESS AGENT’S ACCEPTANCE THEREOF. SERVICE UPON THE PROCESS AGENT SHALL CONSTITUTE VALID AND EFFECTIVE SERVICE UPON THE COMPANY FOR ANY ACTION ARISING OUT OF OR RELATING TO THIS AGREEMENT. IF THE PROCESS AGENT CEASES TO ACT OR CEASES TO MAINTAIN AN OFFICE IN THE BOROUGH OF MANHATTAN, THE COMPANY SHALL PROMPTLY APPOINT A REPLACEMENT PROCESS AGENT REASONABLY ACCEPTABLE TO THE AGENT BEFORE THE PRIOR APPOINTMENT TERMINATES.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of a .pdf attachment.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Schedule and Exhibit headings herein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 xml:space="preserve">. The Company represents, warrants and agrees that, unless it obtains the prior consent of the Agent, and the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Times;Serif" w:hAnsi="Times New Roman;Times;Serif"/>
          <w:b w:val="false"/>
          <w:i w:val="false"/>
          <w:caps w:val="false"/>
          <w:smallCaps w:val="false"/>
          <w:sz w:val="20"/>
          <w:u w:val="single"/>
        </w:rPr>
        <w:t>Exhibit 23</w:t>
      </w:r>
      <w:r>
        <w:rPr>
          <w:rFonts w:ascii="Times New Roman;Times;Serif" w:hAnsi="Times New Roman;Times;Serif"/>
          <w:b w:val="false"/>
          <w:i w:val="false"/>
          <w:caps w:val="false"/>
          <w:smallCaps w:val="false"/>
          <w:sz w:val="20"/>
        </w:rPr>
        <w:t xml:space="preserve"> hereto are Permitted Free Writing Prospectuses.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Agent’s Role; Absence of Fiduciary Relationship</w:t>
      </w:r>
      <w:r>
        <w:rPr>
          <w:rFonts w:ascii="Times New Roman;Times;Serif" w:hAnsi="Times New Roman;Times;Serif"/>
          <w:b w:val="false"/>
          <w:i w:val="false"/>
          <w:caps w:val="false"/>
          <w:smallCaps w:val="false"/>
          <w:sz w:val="20"/>
        </w:rPr>
        <w:t>. The Company acknowledges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shareholders (or other equity holders), creditors or employees or any other party, on the one hand, and the Agent, on the other hand, has been or will be created in respect of any of the transactions contemplated by this Agreement, irrespective of whether or not any Agent has advised or is advising the Company on other matters, and the Agent has no obligation to the Company with respect to the transactions contemplated by this Agreement except the obligations expressly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capable of evaluating and understanding, and understands and accepts, the terms, risks and conditions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has not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aware that the Agent and its affiliates are engaged in a broad range of transactions which may involve interests that differ from those of the Company and such Agent has no obligation to disclose such interests and transactions to the Company by virtue of any fiduciary, advisory or agency relationship or otherwise;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waives, to the fullest extent permitted by law, any claims it may have against the Agent for breach of fiduciary duty or alleged breach of fiduciary duty in connection with the sale of Placement Shares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its counsel confidential to the extent not otherwise publicly-available;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Agent is not responsible for market behavior, investor activity, issuer disclosure, Company investor relations activity, third-party promotions, public float calculations, Form F-3 capacity, PRC or CSRC compliance, Nasdaq compliance, or any Company or transfer-agent failure to deliver Placement Shares. The Agent may monitor trading conditions, news, public filings, social media, regulatory developments, settlement status and other risk indicators, and may adjust execution accordingly. The Agent is acting solely as an execution agent, not a market participant or stabilizing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Good Faith</w:t>
      </w:r>
      <w:r>
        <w:rPr>
          <w:rFonts w:ascii="Times New Roman;Times;Serif" w:hAnsi="Times New Roman;Times;Serif"/>
          <w:b w:val="false"/>
          <w:i w:val="false"/>
          <w:caps w:val="false"/>
          <w:smallCaps w:val="false"/>
          <w:sz w:val="20"/>
        </w:rPr>
        <w:t>. Each party hereto agrees to act in good faith in the performance of its obligations and the exercise of its rights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spacing w:before="0" w:after="0"/>
        <w:ind w:left="18" w:right="0" w:firstLine="702"/>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and (ii) the time of each sale of any Placement Shares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the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0" w:right="0" w:hanging="0"/>
        <w:jc w:val="both"/>
        <w:rPr>
          <w:caps w:val="false"/>
          <w:smallCaps w:val="false"/>
        </w:rPr>
      </w:pPr>
      <w:r>
        <w:rPr>
          <w:caps w:val="false"/>
          <w:smallCaps w:val="false"/>
        </w:rPr>
        <w:t> </w:t>
      </w:r>
    </w:p>
    <w:tbl>
      <w:tblPr>
        <w:tblW w:w="4879" w:type="dxa"/>
        <w:jc w:val="left"/>
        <w:tblInd w:w="0" w:type="dxa"/>
        <w:tblLayout w:type="fixed"/>
        <w:tblCellMar>
          <w:top w:w="0" w:type="dxa"/>
          <w:left w:w="0" w:type="dxa"/>
          <w:bottom w:w="0" w:type="dxa"/>
          <w:right w:w="0" w:type="dxa"/>
        </w:tblCellMar>
      </w:tblPr>
      <w:tblGrid>
        <w:gridCol w:w="75"/>
        <w:gridCol w:w="367"/>
        <w:gridCol w:w="715"/>
        <w:gridCol w:w="3722"/>
      </w:tblGrid>
      <w:tr>
        <w:trPr/>
        <w:tc>
          <w:tcPr>
            <w:tcW w:w="75" w:type="dxa"/>
            <w:tcBorders/>
            <w:vAlign w:val="center"/>
          </w:tcPr>
          <w:p>
            <w:pPr>
              <w:pStyle w:val="TableContents"/>
              <w:bidi w:val="0"/>
              <w:spacing w:before="0" w:after="283"/>
              <w:jc w:val="left"/>
              <w:rPr/>
            </w:pPr>
            <w:r>
              <w:rPr/>
              <w:t> </w:t>
            </w:r>
          </w:p>
        </w:tc>
        <w:tc>
          <w:tcPr>
            <w:tcW w:w="4804"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1082" w:type="dxa"/>
            <w:gridSpan w:val="2"/>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3"/>
            <w:tcBorders/>
            <w:vAlign w:val="center"/>
          </w:tcPr>
          <w:p>
            <w:pPr>
              <w:pStyle w:val="TableContents"/>
              <w:bidi w:val="0"/>
              <w:spacing w:before="0" w:after="283"/>
              <w:jc w:val="left"/>
              <w:rPr>
                <w:b/>
              </w:rPr>
            </w:pPr>
            <w:r>
              <w:rPr>
                <w:b/>
              </w:rPr>
              <w:t>SOLOWIN HOLDINGS</w:t>
            </w:r>
          </w:p>
        </w:tc>
      </w:tr>
      <w:tr>
        <w:trPr/>
        <w:tc>
          <w:tcPr>
            <w:tcW w:w="75" w:type="dxa"/>
            <w:tcBorders/>
            <w:vAlign w:val="center"/>
          </w:tcPr>
          <w:p>
            <w:pPr>
              <w:pStyle w:val="TableContents"/>
              <w:bidi w:val="0"/>
              <w:spacing w:before="0" w:after="283"/>
              <w:jc w:val="left"/>
              <w:rPr/>
            </w:pPr>
            <w:r>
              <w:rPr/>
              <w:t> </w:t>
            </w:r>
          </w:p>
        </w:tc>
        <w:tc>
          <w:tcPr>
            <w:tcW w:w="1082" w:type="dxa"/>
            <w:gridSpan w:val="2"/>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By:</w:t>
            </w:r>
          </w:p>
        </w:tc>
        <w:tc>
          <w:tcPr>
            <w:tcW w:w="4437" w:type="dxa"/>
            <w:gridSpan w:val="2"/>
            <w:tcBorders>
              <w:bottom w:val="single" w:sz="12" w:space="0" w:color="000000"/>
            </w:tcBorders>
            <w:tcMar>
              <w:bottom w:w="28" w:type="dxa"/>
            </w:tcMar>
            <w:vAlign w:val="center"/>
          </w:tcPr>
          <w:p>
            <w:pPr>
              <w:pStyle w:val="TableContents"/>
              <w:bidi w:val="0"/>
              <w:spacing w:before="0" w:after="283"/>
              <w:jc w:val="left"/>
              <w:rPr/>
            </w:pPr>
            <w:r>
              <w:rPr/>
              <w:t>/s/ Ling Ngai Lok</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Name:</w:t>
            </w:r>
          </w:p>
        </w:tc>
        <w:tc>
          <w:tcPr>
            <w:tcW w:w="3722" w:type="dxa"/>
            <w:tcBorders/>
            <w:vAlign w:val="center"/>
          </w:tcPr>
          <w:p>
            <w:pPr>
              <w:pStyle w:val="TableContents"/>
              <w:bidi w:val="0"/>
              <w:spacing w:before="0" w:after="283"/>
              <w:jc w:val="left"/>
              <w:rPr/>
            </w:pPr>
            <w:r>
              <w:rPr/>
              <w:t>Ling Ngai Lok</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Title:</w:t>
            </w:r>
          </w:p>
        </w:tc>
        <w:tc>
          <w:tcPr>
            <w:tcW w:w="3722" w:type="dxa"/>
            <w:tcBorders/>
            <w:vAlign w:val="center"/>
          </w:tcPr>
          <w:p>
            <w:pPr>
              <w:pStyle w:val="TableContents"/>
              <w:bidi w:val="0"/>
              <w:spacing w:before="0" w:after="283"/>
              <w:jc w:val="left"/>
              <w:rPr/>
            </w:pPr>
            <w:r>
              <w:rPr/>
              <w:t>Chairman and Chief Executive Officer</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3"/>
            <w:tcBorders/>
            <w:vAlign w:val="center"/>
          </w:tcPr>
          <w:p>
            <w:pPr>
              <w:pStyle w:val="TableContents"/>
              <w:bidi w:val="0"/>
              <w:spacing w:before="0" w:after="283"/>
              <w:jc w:val="left"/>
              <w:rPr>
                <w:b/>
              </w:rPr>
            </w:pPr>
            <w:r>
              <w:rPr>
                <w:b/>
              </w:rPr>
              <w:t>ACCEPTED as of the date first-above written:</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4" w:type="dxa"/>
            <w:gridSpan w:val="3"/>
            <w:tcBorders/>
            <w:vAlign w:val="center"/>
          </w:tcPr>
          <w:p>
            <w:pPr>
              <w:pStyle w:val="TableContents"/>
              <w:bidi w:val="0"/>
              <w:spacing w:before="0" w:after="283"/>
              <w:jc w:val="left"/>
              <w:rPr>
                <w:b/>
              </w:rPr>
            </w:pPr>
            <w:r>
              <w:rPr>
                <w:b/>
              </w:rPr>
              <w:t>CHAINCE SECURITIES, LLC</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By:</w:t>
            </w:r>
          </w:p>
        </w:tc>
        <w:tc>
          <w:tcPr>
            <w:tcW w:w="4437" w:type="dxa"/>
            <w:gridSpan w:val="2"/>
            <w:tcBorders>
              <w:bottom w:val="single" w:sz="12" w:space="0" w:color="000000"/>
            </w:tcBorders>
            <w:tcMar>
              <w:bottom w:w="28" w:type="dxa"/>
            </w:tcMar>
            <w:vAlign w:val="center"/>
          </w:tcPr>
          <w:p>
            <w:pPr>
              <w:pStyle w:val="TableContents"/>
              <w:bidi w:val="0"/>
              <w:spacing w:before="0" w:after="283"/>
              <w:jc w:val="left"/>
              <w:rPr/>
            </w:pPr>
            <w:r>
              <w:rPr/>
              <w:t>/s/ Wilfred Daye </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Name: </w:t>
            </w:r>
          </w:p>
        </w:tc>
        <w:tc>
          <w:tcPr>
            <w:tcW w:w="3722" w:type="dxa"/>
            <w:tcBorders/>
            <w:vAlign w:val="center"/>
          </w:tcPr>
          <w:p>
            <w:pPr>
              <w:pStyle w:val="TableContents"/>
              <w:bidi w:val="0"/>
              <w:spacing w:before="0" w:after="283"/>
              <w:jc w:val="left"/>
              <w:rPr/>
            </w:pPr>
            <w:r>
              <w:rPr/>
              <w:t>Wilfred Daye</w:t>
            </w:r>
          </w:p>
        </w:tc>
      </w:tr>
      <w:tr>
        <w:trPr/>
        <w:tc>
          <w:tcPr>
            <w:tcW w:w="7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Title:</w:t>
            </w:r>
          </w:p>
        </w:tc>
        <w:tc>
          <w:tcPr>
            <w:tcW w:w="3722" w:type="dxa"/>
            <w:tcBorders/>
            <w:vAlign w:val="center"/>
          </w:tcPr>
          <w:p>
            <w:pPr>
              <w:pStyle w:val="TableContents"/>
              <w:bidi w:val="0"/>
              <w:spacing w:before="0" w:after="283"/>
              <w:jc w:val="left"/>
              <w:rPr/>
            </w:pPr>
            <w:r>
              <w:rPr/>
              <w:t>CEO</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PLACEMENT NOTICE</w:t>
      </w:r>
    </w:p>
    <w:p>
      <w:pPr>
        <w:pStyle w:val="TextBody"/>
        <w:bidi w:val="0"/>
        <w:spacing w:before="0" w:after="0"/>
        <w:ind w:left="0" w:right="0" w:hanging="0"/>
        <w:jc w:val="center"/>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980"/>
        <w:gridCol w:w="3695"/>
      </w:tblGrid>
      <w:tr>
        <w:trPr/>
        <w:tc>
          <w:tcPr>
            <w:tcW w:w="980" w:type="dxa"/>
            <w:tcBorders/>
            <w:vAlign w:val="center"/>
          </w:tcPr>
          <w:p>
            <w:pPr>
              <w:pStyle w:val="TableContents"/>
              <w:bidi w:val="0"/>
              <w:spacing w:before="0" w:after="283"/>
              <w:jc w:val="left"/>
              <w:rPr/>
            </w:pPr>
            <w:r>
              <w:rPr/>
              <w:t>From:</w:t>
            </w:r>
          </w:p>
        </w:tc>
        <w:tc>
          <w:tcPr>
            <w:tcW w:w="3695" w:type="dxa"/>
            <w:tcBorders/>
            <w:vAlign w:val="center"/>
          </w:tcPr>
          <w:p>
            <w:pPr>
              <w:pStyle w:val="TableContents"/>
              <w:bidi w:val="0"/>
              <w:spacing w:before="0" w:after="283"/>
              <w:jc w:val="left"/>
              <w:rPr/>
            </w:pPr>
            <w:r>
              <w:rPr/>
              <w:t>Solowin Holdings</w:t>
            </w:r>
          </w:p>
        </w:tc>
      </w:tr>
      <w:tr>
        <w:trPr/>
        <w:tc>
          <w:tcPr>
            <w:tcW w:w="98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To:</w:t>
            </w:r>
          </w:p>
        </w:tc>
        <w:tc>
          <w:tcPr>
            <w:tcW w:w="3695" w:type="dxa"/>
            <w:tcBorders/>
            <w:vAlign w:val="center"/>
          </w:tcPr>
          <w:p>
            <w:pPr>
              <w:pStyle w:val="TableContents"/>
              <w:bidi w:val="0"/>
              <w:spacing w:before="0" w:after="283"/>
              <w:jc w:val="left"/>
              <w:rPr/>
            </w:pPr>
            <w:r>
              <w:rPr/>
              <w:t>Chaince Securities, LLC</w:t>
            </w:r>
          </w:p>
        </w:tc>
      </w:tr>
      <w:tr>
        <w:trPr/>
        <w:tc>
          <w:tcPr>
            <w:tcW w:w="98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Attention:</w:t>
            </w:r>
          </w:p>
        </w:tc>
        <w:tc>
          <w:tcPr>
            <w:tcW w:w="3695" w:type="dxa"/>
            <w:tcBorders/>
            <w:vAlign w:val="center"/>
          </w:tcPr>
          <w:p>
            <w:pPr>
              <w:pStyle w:val="TableContents"/>
              <w:bidi w:val="0"/>
              <w:spacing w:before="0" w:after="283"/>
              <w:jc w:val="left"/>
              <w:rPr/>
            </w:pPr>
            <w:r>
              <w:rPr/>
              <w:t>[●]</w:t>
            </w:r>
          </w:p>
        </w:tc>
      </w:tr>
      <w:tr>
        <w:trPr/>
        <w:tc>
          <w:tcPr>
            <w:tcW w:w="98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Subject:</w:t>
            </w:r>
          </w:p>
        </w:tc>
        <w:tc>
          <w:tcPr>
            <w:tcW w:w="3695" w:type="dxa"/>
            <w:tcBorders/>
            <w:vAlign w:val="center"/>
          </w:tcPr>
          <w:p>
            <w:pPr>
              <w:pStyle w:val="TableContents"/>
              <w:bidi w:val="0"/>
              <w:spacing w:before="0" w:after="283"/>
              <w:jc w:val="left"/>
              <w:rPr/>
            </w:pPr>
            <w:r>
              <w:rPr/>
              <w:t>At Market Issuance--Placement Notice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At Market Sales Agreement between Solowin Holdings, an exempted company incorporated in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Chaince Securities, LLC, dated October 22, 2026, the Company hereby requests that the Agent sell up to [●] of the Company’s Class A Ordinary Shares par value US$0.0001 per share, at a minimum market price of $[●] per share, during the time period beginning [month, day, time] and ending [month, day, time] [and with no more than [●] Placement Shares sold in any one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include such other sale parameters as it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defined herein shall have the respective meanings assigned to them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Agent in cash, upon each settlement of sales of Placement Shares pursuant to this Agreement (each such settlement, a “Closing”), (i) a cash fee equal to 3.0% of the aggregate gross proceeds raised at such Closing and (ii) out of the proceeds of such Closing, a non-accountable expense allowance equal to 1.0% of the aggregate gross proceeds raised at such Closing for out-of-pocket expenses incurred by the Agent in connection with the offering (the “Expense Allowance”), each of which will be reflected on the applicable settlement statement. For the avoidance of doubt, the Expense Allowance is in addition to, and does not include, the fees and expenses of the Agent’s legal counsel, which shall be borne by the Company separately pursuant to Section 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Chaince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of Representation Date Certificate </w:t>
      </w:r>
    </w:p>
    <w:p>
      <w:pPr>
        <w:pStyle w:val="TextBody"/>
        <w:bidi w:val="0"/>
        <w:spacing w:before="0" w:after="0"/>
        <w:ind w:left="648"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 20___</w:t>
      </w:r>
    </w:p>
    <w:p>
      <w:pPr>
        <w:pStyle w:val="TextBody"/>
        <w:bidi w:val="0"/>
        <w:spacing w:before="0" w:after="0"/>
        <w:ind w:left="648" w:right="0" w:hanging="0"/>
        <w:jc w:val="center"/>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Representation Date Certificate (this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is executed and delivered in connection with </w:t>
      </w:r>
      <w:r>
        <w:rPr>
          <w:rFonts w:ascii="Times New Roman;Times;Serif" w:hAnsi="Times New Roman;Times;Serif"/>
          <w:b w:val="false"/>
          <w:i w:val="false"/>
          <w:caps w:val="false"/>
          <w:smallCaps w:val="false"/>
          <w:sz w:val="20"/>
          <w:u w:val="single"/>
        </w:rPr>
        <w:t>Section 7(l)</w:t>
      </w:r>
      <w:r>
        <w:rPr>
          <w:rFonts w:ascii="Times New Roman;Times;Serif" w:hAnsi="Times New Roman;Times;Serif"/>
          <w:b w:val="false"/>
          <w:i w:val="false"/>
          <w:caps w:val="false"/>
          <w:smallCaps w:val="false"/>
          <w:sz w:val="20"/>
        </w:rPr>
        <w:t xml:space="preserve"> of the At Market Sales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October 22, 2026, and entered into between Solowin Holdings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Chaince Securities, LLC. All capitalized terms used but not defined herein shall have the meanings given to such terms in the Agreement.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certifies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this paragraph 1 to be true.</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the representations and warranties of the Company contained in the Agreement were, when originally made, and are, as of the date of this Certificate, true and correct in all material respects.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Except as waived by the Agent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Subsequent to the date of the most recent financial statements in the Prospectus, and except as described in the Prospectus, including Incorporated Documents, there has been no Material Adverse Effect.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 </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Company remains eligible to use Form F-3 under the Securities Act and, if and to the extent the Company is relying on General Instruction I.B.5 of Form F-3, has sufficient unused primary offering capacity thereunder.</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 sufficient number of Ordinary Shares are duly authorized, unissued and unreserved for issuance as Placement Shares under the Agreement.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All applicable Nasdaq, FINRA, DTC, DWAC, transfer-agent and other regulatory or operational requirements in connection with the offering and sale of Placement Shares have been satisfied.</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Company’s disclosure controls and procedures (as defined in Exchange Act Rules 13a-15 and 15d-15) are effective, and the Company’s internal control over financial reporting is effective, except as otherwise disclosed in the Registration Statement or the Prospectus.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Since the date of the most recent Form 20-F filed by the Company with the Commission, (i) there have been no material weaknesses in the Company’s internal control over financial reporting other than as disclosed in the Registration Statement or the Prospectus, (ii) there has been no restatement of the Company’s financial statements, and (iii) there has been no change in or disagreement with the Company’s independent registered public accounting firm.</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Company, its Subsidiaries and, to the Company’s knowledge, their respective directors, officers, employees, agents and affiliates are in compliance with all applicable Sanctions laws and regulations and all applicable anti-money laundering laws and regulations, including the Bank Secrecy Act, the USA PATRIOT Act and the rules and regulations administered by the Office of Foreign Assets Control.</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Except as disclosed in the Registration Statement or the Prospectus, the Company and its Subsidiaries have not engaged in any digital-asset or stablecoin activities, do not hold custody of customer assets, and are not required to register as a money services business or equivalent under applicable law.</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To the Company’s knowledge, since the date of the most recent Form 20-F or Form 6-K filed by the Company with the Commission, there has been no material cybersecurity incident affecting the Company’s IT Systems and Data that has not been disclosed in a filing with the Commission or otherwise reported to the Agent.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All information required to be filed on Form 6-K or Form 20-F by the Company with the Commission has been so filed within the time periods required by the Exchange Act and the rules and regulations thereunder (taking into account any applicable extensions).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Representation Date Certificate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75"/>
        <w:gridCol w:w="2265"/>
        <w:gridCol w:w="289"/>
      </w:tblGrid>
      <w:tr>
        <w:trPr/>
        <w:tc>
          <w:tcPr>
            <w:tcW w:w="75"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b/>
              </w:rPr>
            </w:pPr>
            <w:r>
              <w:rPr>
                <w:b/>
              </w:rPr>
              <w:t>SOLOWIN HOLDINGS</w:t>
            </w:r>
          </w:p>
        </w:tc>
      </w:tr>
      <w:tr>
        <w:trPr/>
        <w:tc>
          <w:tcPr>
            <w:tcW w:w="75"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left"/>
              <w:rPr/>
            </w:pPr>
            <w:r>
              <w:rPr/>
              <w:t>By:</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left"/>
              <w:rPr/>
            </w:pPr>
            <w:r>
              <w:rPr/>
              <w:t>Name:</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65" w:type="dxa"/>
            <w:tcBorders/>
            <w:vAlign w:val="center"/>
          </w:tcPr>
          <w:p>
            <w:pPr>
              <w:pStyle w:val="TableContents"/>
              <w:bidi w:val="0"/>
              <w:spacing w:before="0" w:after="283"/>
              <w:jc w:val="left"/>
              <w:rPr/>
            </w:pPr>
            <w:r>
              <w:rPr/>
              <w:t>Title:</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464" w:right="0" w:hanging="0"/>
        <w:jc w:val="both"/>
        <w:rPr>
          <w:caps w:val="false"/>
          <w:smallCaps w:val="false"/>
        </w:rPr>
      </w:pPr>
      <w:r>
        <w:rPr>
          <w:caps w:val="false"/>
          <w:smallCaps w:val="false"/>
        </w:rPr>
        <w:t> </w:t>
      </w:r>
    </w:p>
    <w:p>
      <w:pPr>
        <w:pStyle w:val="TextBody"/>
        <w:bidi w:val="0"/>
        <w:spacing w:before="0" w:after="0"/>
        <w:ind w:left="4464"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4464"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of Chief Financial Officer Certificate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 20___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Lili Liu, the Chief Financial Officer of Solowin Holdings. (the “Company”), hereby certifies on behalf of the Company and in her capacity as an officer of the Company that:</w:t>
      </w:r>
    </w:p>
    <w:p>
      <w:pPr>
        <w:pStyle w:val="TextBody"/>
        <w:bidi w:val="0"/>
        <w:spacing w:before="0" w:after="0"/>
        <w:ind w:left="71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1.</w:t>
            </w:r>
          </w:p>
        </w:tc>
        <w:tc>
          <w:tcPr>
            <w:tcW w:w="10030" w:type="dxa"/>
            <w:tcBorders/>
            <w:vAlign w:val="center"/>
          </w:tcPr>
          <w:p>
            <w:pPr>
              <w:pStyle w:val="TableContents"/>
              <w:bidi w:val="0"/>
              <w:spacing w:before="0" w:after="283"/>
              <w:jc w:val="both"/>
              <w:rPr/>
            </w:pPr>
            <w:r>
              <w:rPr/>
              <w:t>I am providing this certificate pursuant to Section 7(n) of the At Market Sales Agreement, dated as of October 22, 2026 (the “Sales Agreement”), by and between the Company and Chaince Securities, LLC (“Chaince”). Capitalized terms used but not defined in this certificate shall have the meanings assigned to them in the Sales Agreement.</w:t>
            </w:r>
          </w:p>
        </w:tc>
      </w:tr>
    </w:tbl>
    <w:p>
      <w:pPr>
        <w:pStyle w:val="TextBody"/>
        <w:bidi w:val="0"/>
        <w:spacing w:before="0" w:after="0"/>
        <w:ind w:left="71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20"/>
              </w:rPr>
            </w:pPr>
            <w:r>
              <w:rPr>
                <w:sz w:val="20"/>
              </w:rPr>
              <w:t>2.</w:t>
            </w:r>
          </w:p>
        </w:tc>
        <w:tc>
          <w:tcPr>
            <w:tcW w:w="10036" w:type="dxa"/>
            <w:tcBorders/>
            <w:vAlign w:val="center"/>
          </w:tcPr>
          <w:p>
            <w:pPr>
              <w:pStyle w:val="TableContents"/>
              <w:bidi w:val="0"/>
              <w:spacing w:before="0" w:after="283"/>
              <w:jc w:val="both"/>
              <w:rPr/>
            </w:pPr>
            <w:r>
              <w:rPr/>
              <w:t>As the Chief Financial Officer of the Company, I am: (a) responsible for the financial and accounting matters of the Company and its subsidiaries, including oversight of the financial and accounting functions and staff; (b) knowledgeable about the internal accounting records and accounting practices, systems, policies and procedures of the Company and its subsidiaries; and (c) knowledgeable about and, together with the Company’s Chief Executive Officer, responsible for establishing and maintaining disclosure controls and procedures (as defined in Exchange Act Rules 13a-15(e) and 15d-15(e)) and internal control over financial reporting (as defined in Exchange Act Rules 13a-15(f) and 15d-15(f)).</w:t>
            </w:r>
          </w:p>
        </w:tc>
      </w:tr>
    </w:tbl>
    <w:p>
      <w:pPr>
        <w:pStyle w:val="TextBody"/>
        <w:bidi w:val="0"/>
        <w:spacing w:before="0" w:after="0"/>
        <w:ind w:left="717"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20"/>
              </w:rPr>
            </w:pPr>
            <w:r>
              <w:rPr>
                <w:sz w:val="20"/>
              </w:rPr>
              <w:t>3.</w:t>
            </w:r>
          </w:p>
        </w:tc>
        <w:tc>
          <w:tcPr>
            <w:tcW w:w="10037" w:type="dxa"/>
            <w:tcBorders/>
            <w:vAlign w:val="center"/>
          </w:tcPr>
          <w:p>
            <w:pPr>
              <w:pStyle w:val="TableContents"/>
              <w:bidi w:val="0"/>
              <w:spacing w:before="0" w:after="283"/>
              <w:jc w:val="both"/>
              <w:rPr/>
            </w:pPr>
            <w:r>
              <w:rPr/>
              <w:t>I am familiar with the accounting, operations and records systems of the Company and its consolidated subsidiaries and have (i) read the Registration Statement, the Prospectus, the Company’s most recent Annual Report on Form 20-F (the “</w:t>
            </w:r>
            <w:r>
              <w:rPr>
                <w:b/>
                <w:i/>
              </w:rPr>
              <w:t>20-F</w:t>
            </w:r>
            <w:r>
              <w:rPr/>
              <w:t>”) [and the Company’s most recent interim financial statements on Form 6-K (the “</w:t>
            </w:r>
            <w:r>
              <w:rPr>
                <w:b/>
                <w:i/>
              </w:rPr>
              <w:t>6-K</w:t>
            </w:r>
            <w:r>
              <w:rPr/>
              <w:t>”)], and (ii) supervised the compilation of and reviewed the financial and numerical information set forth in the Registration Statement, the Prospectus, and the 20-F, [and the 6-K] (collectively, the “</w:t>
            </w:r>
            <w:r>
              <w:rPr>
                <w:b/>
                <w:i/>
              </w:rPr>
              <w:t>Financial and Numerical Information</w:t>
            </w:r>
            <w:r>
              <w:rPr/>
              <w:t xml:space="preserve">”), including the amounts circled in </w:t>
            </w:r>
            <w:r>
              <w:rPr>
                <w:u w:val="single"/>
              </w:rPr>
              <w:t>Annex A</w:t>
            </w:r>
            <w:r>
              <w:rPr/>
              <w:t xml:space="preserve"> hereto. Such Financial and Numerical Information has been derived from the records of the Company or its subsidiaries and from sources which I believe are accurate, complete and reliable in all material respects.</w:t>
            </w:r>
          </w:p>
        </w:tc>
      </w:tr>
    </w:tbl>
    <w:p>
      <w:pPr>
        <w:pStyle w:val="TextBody"/>
        <w:bidi w:val="0"/>
        <w:spacing w:before="0" w:after="0"/>
        <w:ind w:left="71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20"/>
              </w:rPr>
            </w:pPr>
            <w:r>
              <w:rPr>
                <w:sz w:val="20"/>
              </w:rPr>
              <w:t>4.</w:t>
            </w:r>
          </w:p>
        </w:tc>
        <w:tc>
          <w:tcPr>
            <w:tcW w:w="10037" w:type="dxa"/>
            <w:tcBorders/>
            <w:vAlign w:val="center"/>
          </w:tcPr>
          <w:p>
            <w:pPr>
              <w:pStyle w:val="TableContents"/>
              <w:bidi w:val="0"/>
              <w:spacing w:before="0" w:after="283"/>
              <w:jc w:val="both"/>
              <w:rPr/>
            </w:pPr>
            <w:r>
              <w:rPr/>
              <w:t xml:space="preserve">I or current or former members of the Company’s staff who were or are responsible for the Company’s financial and accounting matters have prepared or reviewed the Financial and Numerical Information. I or members of my staff have compared the amounts circled in </w:t>
            </w:r>
            <w:r>
              <w:rPr>
                <w:u w:val="single"/>
              </w:rPr>
              <w:t>Annex A</w:t>
            </w:r>
            <w:r>
              <w:rPr/>
              <w:t xml:space="preserve"> hereto and found them to be consistent with, or derived from, the corresponding amounts in the internal accounting records or financial reporting schedules of the Company or its subsidiaries from which the Company’s consolidated financial statements and footnotes thereto and other disclosures are derived and, such amounts were, as of the date of such Financial and Numerical Information, true, correct and accurate, in all material respects and such amounts are, as of the date hereof, true, correct and accurate, in all material respects.</w:t>
            </w:r>
          </w:p>
        </w:tc>
      </w:tr>
    </w:tbl>
    <w:p>
      <w:pPr>
        <w:pStyle w:val="TextBody"/>
        <w:bidi w:val="0"/>
        <w:spacing w:before="0" w:after="0"/>
        <w:ind w:left="71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20"/>
              </w:rPr>
            </w:pPr>
            <w:r>
              <w:rPr>
                <w:sz w:val="20"/>
              </w:rPr>
              <w:t>5.</w:t>
            </w:r>
          </w:p>
        </w:tc>
        <w:tc>
          <w:tcPr>
            <w:tcW w:w="10028" w:type="dxa"/>
            <w:tcBorders/>
            <w:vAlign w:val="center"/>
          </w:tcPr>
          <w:p>
            <w:pPr>
              <w:pStyle w:val="TableContents"/>
              <w:bidi w:val="0"/>
              <w:spacing w:before="0" w:after="283"/>
              <w:jc w:val="both"/>
              <w:rPr/>
            </w:pPr>
            <w:r>
              <w:rPr/>
              <w:t>As of the date hereof, the Financial and Numerical Information did not, to my knowledge, contain any untrue statement of a material fact or omit to state a material fact necessary in order to make the statements made, in the light of the circumstances under which they were made, not misleading.</w:t>
            </w:r>
          </w:p>
        </w:tc>
      </w:tr>
    </w:tbl>
    <w:p>
      <w:pPr>
        <w:pStyle w:val="TextBody"/>
        <w:bidi w:val="0"/>
        <w:spacing w:before="0" w:after="0"/>
        <w:ind w:left="719" w:right="0" w:hanging="360"/>
        <w:jc w:val="both"/>
        <w:rPr>
          <w:caps w:val="false"/>
          <w:smallCaps w:val="false"/>
        </w:rPr>
      </w:pPr>
      <w:r>
        <w:rPr>
          <w:caps w:val="false"/>
          <w:smallCaps w:val="false"/>
        </w:rPr>
        <w:t> </w:t>
      </w:r>
    </w:p>
    <w:p>
      <w:pPr>
        <w:pStyle w:val="TextBody"/>
        <w:bidi w:val="0"/>
        <w:spacing w:before="0" w:after="0"/>
        <w:ind w:left="719"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71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20"/>
              </w:rPr>
            </w:pPr>
            <w:r>
              <w:rPr>
                <w:sz w:val="20"/>
              </w:rPr>
              <w:t>6.</w:t>
            </w:r>
          </w:p>
        </w:tc>
        <w:tc>
          <w:tcPr>
            <w:tcW w:w="10031" w:type="dxa"/>
            <w:tcBorders/>
            <w:vAlign w:val="center"/>
          </w:tcPr>
          <w:p>
            <w:pPr>
              <w:pStyle w:val="TableContents"/>
              <w:bidi w:val="0"/>
              <w:spacing w:before="0" w:after="283"/>
              <w:jc w:val="both"/>
              <w:rPr/>
            </w:pPr>
            <w:r>
              <w:rPr/>
              <w:t>I am sufficiently familiar with the present financial and business affairs of the Company and its subsidiaries so that any material changes in the facts underlying the data relied upon by me in making this certification, occurring since the respective dates of such data, would reasonably be expected to have come to my attention prior to the date hereof in the regular course of business.</w:t>
            </w:r>
          </w:p>
        </w:tc>
      </w:tr>
    </w:tbl>
    <w:p>
      <w:pPr>
        <w:pStyle w:val="TextBody"/>
        <w:bidi w:val="0"/>
        <w:spacing w:before="0" w:after="0"/>
        <w:ind w:left="71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7.</w:t>
            </w:r>
          </w:p>
        </w:tc>
        <w:tc>
          <w:tcPr>
            <w:tcW w:w="10019" w:type="dxa"/>
            <w:tcBorders/>
            <w:vAlign w:val="center"/>
          </w:tcPr>
          <w:p>
            <w:pPr>
              <w:pStyle w:val="TableContents"/>
              <w:bidi w:val="0"/>
              <w:spacing w:before="0" w:after="283"/>
              <w:jc w:val="both"/>
              <w:rPr>
                <w:sz w:val="20"/>
              </w:rPr>
            </w:pPr>
            <w:r>
              <w:rPr>
                <w:sz w:val="20"/>
              </w:rPr>
              <w:t>[I certify that (a) each interim financial statement included or incorporated by reference in the Registration Statement or the Prospectus, including each interim financial statement filed on Form 6-K, has been reviewed by me and presents fairly the financial condition of the Company in all material respects; (b) each material line item in each such interim financial statement has been verified by me against the Company’s internal accounting records and is accurate in all material respect; and (c) each interim financial statement included or incorporated by reference in the Registration Statement or the Prospectus, including each interim financial statement filed on Form 6-K has been reviewed by the Company’s board of directors and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8.</w:t>
            </w:r>
          </w:p>
        </w:tc>
        <w:tc>
          <w:tcPr>
            <w:tcW w:w="10015" w:type="dxa"/>
            <w:tcBorders/>
            <w:vAlign w:val="center"/>
          </w:tcPr>
          <w:p>
            <w:pPr>
              <w:pStyle w:val="TableContents"/>
              <w:bidi w:val="0"/>
              <w:spacing w:before="0" w:after="283"/>
              <w:jc w:val="both"/>
              <w:rPr>
                <w:sz w:val="20"/>
              </w:rPr>
            </w:pPr>
            <w:r>
              <w:rPr>
                <w:sz w:val="20"/>
              </w:rPr>
              <w:t>From the most recent fiscal year end to the date hereof (the “Change Period”), except as disclosed in the Registration Statement, Prospectus Supplement, or documents incorporated by reference therein: (a) there has been no change in the capital stock of the Company, no increase in the Company’s long-term indebtedness or liability, and no decrease in consolidated net current assets or shareholders’ equity; and (b) there has been no decrease in consolidated net sales, total or per-share amounts of income before extraordinary items, or net income.</w:t>
            </w:r>
          </w:p>
        </w:tc>
      </w:tr>
    </w:tbl>
    <w:p>
      <w:pPr>
        <w:pStyle w:val="TextBody"/>
        <w:bidi w:val="0"/>
        <w:spacing w:before="0" w:after="0"/>
        <w:ind w:left="0" w:right="0" w:firstLine="719"/>
        <w:jc w:val="both"/>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and agree that: (a) Chaince is entitled to rely on this certificate in conducting and documenting its due diligence investigation of the Company in connection with the offering described in the Prospectus Supplement; and (b) Sichenzia Ross Ference Carmel LLP, counsel to Chaince is entitled to rely on this certificate in connection with the opinion letters and disclosure letters those firms will deliver pursuant to the Sales Agreement. This certificate may not be relied upon for any other purpose or by any other party.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executed and delivered this Chief Financial Officer’s Certificate on behalf of the Company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650"/>
        <w:gridCol w:w="2225"/>
      </w:tblGrid>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b/>
              </w:rPr>
            </w:pPr>
            <w:r>
              <w:rPr>
                <w:b/>
              </w:rPr>
              <w:t>SOLOWIN HOLDINGS</w:t>
            </w:r>
          </w:p>
        </w:tc>
      </w:tr>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Lili Liu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Permitted Issuer Free Writing Prospectuses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30696401ex10-2.htm"/>
      <w:bookmarkStart w:id="9" w:name="ksea030696401ex102"/>
      <w:bookmarkEnd w:id="8"/>
      <w:bookmarkEnd w:id="9"/>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SECURITIES PURCHASE AGREEMENT </w:t>
      </w:r>
      <w:r>
        <w:rPr>
          <w:rFonts w:ascii="Times New Roman;Times;Serif" w:hAnsi="Times New Roman;Times;Serif"/>
          <w:b w:val="false"/>
          <w:i w:val="false"/>
          <w:caps w:val="false"/>
          <w:smallCaps w:val="false"/>
          <w:sz w:val="20"/>
        </w:rPr>
        <w:t xml:space="preserve">(the “Agreement”), dated as of September 10, 2026, by and between </w:t>
      </w:r>
      <w:r>
        <w:rPr>
          <w:rFonts w:ascii="Times New Roman;Times;Serif" w:hAnsi="Times New Roman;Times;Serif"/>
          <w:b/>
          <w:i w:val="false"/>
          <w:caps w:val="false"/>
          <w:smallCaps w:val="false"/>
          <w:sz w:val="20"/>
        </w:rPr>
        <w:t>Solowin Holdings</w:t>
      </w:r>
      <w:r>
        <w:rPr>
          <w:rFonts w:ascii="Times New Roman;Times;Serif" w:hAnsi="Times New Roman;Times;Serif"/>
          <w:b w:val="false"/>
          <w:i w:val="false"/>
          <w:caps w:val="false"/>
          <w:smallCaps w:val="false"/>
          <w:sz w:val="20"/>
        </w:rPr>
        <w:t xml:space="preserve">, a Cayman Islands company, with headquarters located at Room 1910-1912A, Tower 3, China Hong Kong City, 33 Canton Road, Tsim Sha Tsui, Kowloon Hong Kong (the “Company”), and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xml:space="preserve">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Buyer are executing and delivering this Agreement in reliance upon the exemption from securities registration afforded by Section 4(a)(2) of the Securities Act of 1933, as amended (the “1933 Act”) and Rule 506(b) promulgated by the United States Securities and Exchange Commission (the “SEC”)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desires to purchase from the Company, and the Company desires to issue and sell to the Buyer, upon the terms and conditions set forth in this Agreement, a promissory note of the Company, in the aggregate principal amount of $425,000.00 (as the principal amount thereof may be increased pursuant to the terms thereof, and together with any note(s) issued in replacement thereof or as a dividend thereon or otherwise with respect thereto in accordance with the terms thereof,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“Note”), convertible into Class A ordinary shares, $0.0001 par value per share, of the Company (the “Common Stock”), upon the terms and subject to the limitations and conditions set forth in such Note;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wishes to purchase, upon the terms and conditions stated in this Agreement, such principal amount of the Note as is set forth in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wishes to issue the Commitment Shares (as defined in this Agreement) as additional consideration for the purchase of the Note, which all shall be earned in full as of the Closing Date, as further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of the agreements and covenants herein contained, and for other good and valuable consideration, the receipt and sufficiency of which is hereby acknowledged, the Company and the Buyer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of Note.</w:t>
      </w:r>
      <w:r>
        <w:rPr>
          <w:rFonts w:ascii="Times New Roman;Times;Serif" w:hAnsi="Times New Roman;Times;Serif"/>
          <w:b w:val="false"/>
          <w:i w:val="false"/>
          <w:caps w:val="false"/>
          <w:smallCaps w:val="false"/>
          <w:sz w:val="20"/>
        </w:rPr>
        <w:t xml:space="preserve"> On the Closing Date (as defined below), the Company shall issue and sell to the Buyer, and the Buyer agrees to purchase from the Company, the Note, as further provided herein. As used in this Agreement, the term “business day” shall mean any day other than a Saturday, Sunday, or a day on which commercial banks in the city of New York, New York are authorized or required by law or executive order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On the Closing Date: (i) the Buyer shall pay the purchase price of$ 395,000.00 (the “Purchase Price”) for the Note, to be issued and sold to it at the Closing (as defined below), by wire transfer of immediately available funds to the Company, in accordance with the Company’s written wiring instructions, against delivery of the Note, and (ii) the Company shall deliver such duly executed Note on behalf of the Company, to the Buyer, against delivery of such Purchase Price. On the Closing Date, the Buyer shall withhold a non-accountable sum of $20,000.00 from the Purchase Price to cover the Buyer’s legal fees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satisfaction (or written waiver) of the conditions thereto set forth in Section 6 and Section 7 below, the date and time of the issuance and sale of the Note pursuant to this Agreement (the “Closing Date”) shall be on the date that the Purchase Price for the Note is paid by Buyer pursuant to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by this Agreement (the “Closing”) shall occur on the Closing Date at such location as may be agreed to by the parties (including via exchange of electronic 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or before the Closing Date, the Company shall issue 67,000 shares of Common Stock (the “Closing Commitment Shares”) to the Buyer, which shall be earned in full as of the Closing Date. The Company and the Buyer acknowledge and agree that the Company shall issue the Make-Whole Commitment Shares (as defined below) to the Buyer if the closing price of the Common Stock on the date that the Closing Commitment Shares are delivered to Buyer’s brokerage account without any restrictive legend (the “Legend Removal Price”) is lower than $2.50 (as adjusted for any stock dividend, stock split, stock combination, rights offerings, reclassification or similar transaction that proportionately decreases or increases the Common Stock) (the “Commitment Share Make-Whole Event”). “Make-Whole Commitment Shares” shall mean a number of shares of Common Stock equal to the Commitment Share Make-Whole Total (as defined below) minus the number of Closing Commitment Shares (as adjusted for any stock dividend, stock split, stock combination, rights offerings, reclassification or similar transaction that proportionately decreases or increases the Common Stock). “Commitment Share Make-Whole Total” shall mean 167,500 divided by the Legend Removal Price. The Company shall issue the respective Make-Whole Commitment Shares within five (5) business days after the date that the Closing Commitment Shares are delivered to Buyer’s brokerage account without any restrictive legend (the “Issuance Deadline”). If the issuance of any Make-Whole Commitment Shares would cause the Buyer’s beneficial ownership of Common Stock to exceed the Beneficial Ownership Limitation (as defined in the Note) (the “Beneficial Ownership Limitation”), then the Company shall issue the number of Make-Whole Commitment Shares up to the Beneficial Ownership Limitation, with the balance held in abeyance if required to comply with such Beneficial Ownership Limitation (each an “Additional Tranche”). The Company shall issue each Additional Tranche within two (2) business days of the request by Buyer, subject to compliance with the Beneficial Ownership Limitation. “Commitment Shares” shall mean the Closing Commitment Shares, Make-Whole Commitment Shares, and Additional Shares (as defined in this Agreement). If, at any time after the date of this Agreement, the Common Stock would be deemed to be a “penny stock” as defined in SEC Rule 240.3a51-1 (the “Trigger Date”), then the remaining Commitment Shares held by Buyer as of the Trigger Date (the “Remaining Commitment Shares”) shall automatically be deemed cancelled and extinguished in the entirety as of the Trigger Date, and Buyer shall no longer have any rights to such Remaining Commitment Shares as of the Trigger Date. The Company shall, on the Trigger Date, (i) provide to the Buyer and the Company’s transfer agent all documentation required by the Company’s transfer agent for the cancellation of the Remaining Commitment Shares and (ii) pay to Buyer on the Trigger Date an amount in cash equal to the number of Remaining Commitment Shares multiplied by $2.50 (as adjusted for any stock dividend, stock split, stock combination, rights offerings, reclassification or similar transaction that proportionately decreases or increases the Common Stock) (the “Redemption Amount”). For the avoidance of doubt, Buyer shall no longer have any rights to the Remaining Commitment Shares as of the Trigger Date, except the right to enforce the Company’s payment of the Redemption Amount in cash to Buyer. If, at any time after the date of this Agreement, the Company receives cash proceeds exceeding $2,500,000.00 in the aggregate (the “Minimum Threshold”) from the issuance of equity or debt, then the Buyer shall have the immediate option to require the Company to redeem the remaining Closing Commitment Shares then held by Buyer (the “Buyout Commitment Shares”) by paying the Share Repayment Amount (as defined in this Agreement) to Buyer within two (2) business days of Buyer’s written request. For the avoidance of doubt and notwithstanding anything herein to the contrary, each time that the Company receives cash proceeds from the issuance of equity or debt after the date of this Agreement, such amounts shall be aggregated together for purposes of calculating the Minimum Threshold. “Share Repayment Amount” shall mean an amount in cash equal to the number of Buyout Commitment Shares multiplied by $2.50 (as adjusted for any stock dividend, stock split, stock combination, rights offerings, reclassification or similar transaction that proportionately decreases or increases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the Closing Commitment Shares, on or before the Closing Date, the Company shall also issue 500,000 shares of Common Stock (the “Additional Shares”) to the Buyer, which shall be earned in full as of the Closing Date. The Buyer shall not sell, transfer, or otherwise dispose of any of the Additional Shares until the date that an Event of Default (as defined in the Note) occurs under the Note (an “Event of Default”). If the Note is extinguished in the entirety prior to date that an Event of Default occurs under the Note, then the Additional Shares shall be cancelled and returned to the Company’s treasury by Buyer within a reasonable period of time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Buyer’s Representations and Warranties.</w:t>
      </w:r>
      <w:r>
        <w:rPr>
          <w:rFonts w:ascii="Times New Roman;Times;Serif" w:hAnsi="Times New Roman;Times;Serif"/>
          <w:b w:val="false"/>
          <w:i w:val="false"/>
          <w:caps w:val="false"/>
          <w:smallCaps w:val="false"/>
          <w:sz w:val="20"/>
        </w:rPr>
        <w:t xml:space="preserve"> The Buyer represents and warrants to the Company as of the Closing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As of the Closing Date, the Buyer is purchasing the Note (the Note, Commitment Shares, and shares of Common Stock issuable upon conversion of or otherwise pursuant to the Note (the “Conversion Shares”) shall collectively be referred to herein as the “Securities”) for its own account and not with a present view towards the public sale or distribution thereof, except pursuant to sales registered or exempted from registration under the 1933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by making the representations herein, the Buyer does not agree to hold any of the Securities for any minimum or other specific term and reserves the right to dispose of the Securities at any time in accordance with or pursuant to a registration statement or an exemption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xml:space="preserve"> The Buyer is an “accredited investor” as that term is defined in Rule 501(a) of Regulation D (an “Accredited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xml:space="preserve"> The Buyer understands that the Securities are being offered and sold to it in reliance upon specific exemptions from the registration requirements of United States federal and state securities laws and that the Company is relying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The Buyer and its advisors, if any, have been, and for so long as the Note remains outstanding will continue to be, furnished with all materials relating to the business, finances and operations of the Company and materials relating to the offer and sale of the Securities which have been requested by the Buyer or its advisors. The Buyer and its advisors, if any, have been, and for so long as the Note remains outstanding will continue to be, afforded the opportunity to ask questions of the Company regarding its business and affairs. Notwithstanding the foregoing, the Company has not disclosed to the Buyer any material nonpublic information regarding the Company or otherwise and will not disclose such information unless such information is disclosed to the public prior to or promptly following such disclosure to the Buyer. Neither such inquiries nor any other due diligence investigation conducted by Buyer or any of its advisors or representatives shall modify, amend or affect Buyer’s right to rely on the Company’s representations and warranties contained in Section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xml:space="preserve"> The Buyer understands that no United States federal or state agency or any other government or governmental agency has passed upon or made any recommendation or endorsement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xml:space="preserve"> The Buyer understands that (i) the sale or resale of the Securities has not been and is not being registered under the 1933 Act or any applicable state securities laws, and the Securities may not be transferred unless (a) the Securities are sold pursuant to an effective registration statement under the 1933 Act, (b) the Buyer shall have delivered to the Company, at the cost of the Company, an opinion of counsel (which may be the Legal Counsel Opinion (as defined below)) that shall be in form, substance and scope customary for opinions of counsel in comparable transactions to the effect that the Securities to be sold or transferred may be sold or transferred pursuant to an exemption from such registration, which opinion shall be accepted by the Company, (c) the Securities are sold or transferred to an “affiliate” (as defined in Rule 144 promulgated under the 1933 Act (or a successor rule) (“Rule 144”)) of the Buyer who agrees to sell or otherwise transfer the Securities only in accordance with this Section 2(f) and who is an Accredited Investor, (d) the Securities are sold pursuant to Rule 144 or other applicable exemption, or (e) the Securities are sold pursuant to Regulation S under the 1933 Act (or a successor rule) (“Regulation S”), and the Buyer shall have delivered to the Company, at the cost of the Company, an opinion of counsel that shall be in form, substance and scope customary for opinions of counsel in corporate transactions, which opinion shall be accepted by the Company; (ii) any sale of such Securities made in reliance on Rule 144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such Securities under the 1933 Act or any state securities laws or to comply with the terms and conditions of any exemption thereunder (in each case). Notwithstanding the foregoing or anything else contained herein to the contrary, the Securities may be pledged in connection with a </w:t>
      </w:r>
      <w:r>
        <w:rPr>
          <w:rFonts w:ascii="Times New Roman;Times;Serif" w:hAnsi="Times New Roman;Times;Serif"/>
          <w:b w:val="false"/>
          <w:i w:val="false"/>
          <w:caps w:val="false"/>
          <w:smallCaps w:val="false"/>
          <w:sz w:val="20"/>
          <w:u w:val="single"/>
        </w:rPr>
        <w:t>bona fide</w:t>
      </w:r>
      <w:r>
        <w:rPr>
          <w:rFonts w:ascii="Times New Roman;Times;Serif" w:hAnsi="Times New Roman;Times;Serif"/>
          <w:b w:val="false"/>
          <w:i w:val="false"/>
          <w:caps w:val="false"/>
          <w:smallCaps w:val="false"/>
          <w:sz w:val="20"/>
        </w:rPr>
        <w:t xml:space="preserve"> margin account or other lending arrangement secured by the Securities, and such pledge of Securities shall not be deemed to be a transfer, sale or assignment of the Securities hereunder, and the Buyer in effecting such pledge of Securities shall not be required to provide the Company with any notice thereof or otherwise make any delivery to the Company pursuant to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Buyer understands that until such time as the Note, Commitment Shares, and/or Conversion Shares, as applicable, have been registered under the 1933 Act or may be sold pursuant to Rule 144, Rule 144A under the 1933 Act, Regulation S, or other applicable exemption without any restriction as to the number of securities as of a particular date that can then be immediately sold, the Securities may bear a restrictive legend in substantially the following form (and a stop-transfer order may be placed against transfer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RULE 144A, REGULATION S, OR OTHER APPLICABLE EXEMPTION UNDER SAID ACT. NOTWITHSTANDING THE FOREGOING, THE SECURITIES MAY BE PLEDGED IN CONNECTION WITH A BONA FIDE MARGIN ACCOUNT OR OTHER LOAN OR FINANCING ARRANGEMENT SECURED BY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legend set forth above shall be removed and the Company shall issue a certificate or book entry statement for the applicable shares of Common Stock without such legend to the holder of any Security upon which it is stamped or (as requested by such holder) issue the applicable shares of Common Stock to such holder by electronic delivery by crediting the account of such holder’s broker with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if, unless otherwise required by applicable state securities laws, (a) such Security is registered for sale under an effective registration statement filed under the 1933 Act or otherwise may be sold pursuant to Rule 144, Rule 144A, Regulation S, or other applicable exemption without any restriction as to the number of securities as of a particular date that can then be immediately sold, or (b) the Company or the Buyer provides the Legal Counsel Opinion (as contemplated by and in accordance with Section 4(l) hereof) to the effect that a public sale or transfer of such Security may be made without registration under the 1933 Act, which opinion shall be accepted by the Company so that the sale or transfer is effected. The Company shall be responsible for the fees of its transfer agent and all DTC fees associated with any such issuance. The Buyer agrees to sell all Securities, including those represented by a certificate(s) from which the legend has been removed, in compliance with applicable prospectus delivery requirements, if any. In the event that the Company does not accept the opinion of counsel provided by the Buyer with respect to the transfer of Securities pursuant to an exemption from registration, such as Rule 144, Rule 144A, Regulation S, or other applicable exemption at the Deadline (as defined in the Note), it will be considered an Event of Default pursuant to Section 3.2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This Agreement has been duly and validly authorized by the Buyer and has been duly executed and delivered on behalf of the Buyer, and this Agreement constitutes a valid and binding agreement of the Buyer enforceable in accordance with its terms, except as enforcement may be limited by bankruptcy, insolvency, reorganization, moratorium or other similar laws affecting creditors’ rights generally and except as may be limited by the exercise of judicial discretion in applying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xml:space="preserve"> The Company represents and warrants to the Buyer as of the Closing Date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and each of its Subsidiaries (as defined below), if any, is a corporation duly organized, validly existing and in good standing under the laws of the jurisdiction in which it is incorporated or formed, with full power and authority (corporate and other) to own, lease, use and operate its properties and to carry on its business as and where now owned, leased, used, operated and conducted. The SEC Documents set forth a list of all of the Subsidiaries of the Company and the jurisdiction in which each is incorporated. The Company and each of its Subsidiaries is duly qualified as a foreign corporation to do business and is in good standing in every jurisdiction in which its ownership or use of property or the nature of the business conducted by it makes such qualification necessary except where the failure to be so qualified or in good standing would not have a Material Adverse Effect. “Material Adverse Effect” means any material adverse effect on the business, operations, assets, financial condition or prospects of the Company or its Subsidiaries, if any, taken as a whole, or on the transactions contemplated hereby or by the agreements or instruments to be entered into in connection herewith. “Subsidiaries” means any corporation or other organization, whether incorporated or unincorporated, in which the Company owns, directly or indirectly, any equity or other ownership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xml:space="preserve"> The Company and Subsidiaries have all requisite corporate power and authority to enter into and perform the Transaction Documents and to consummate the transactions contemplated hereby and thereby and to issue the Securities, in accordance with the terms hereof and thereof. The Company represents and warrants that (i) the execution and delivery of the Transaction Documents, the Note, and Conversion Shares by the Company and the consummation by it of the transactions contemplated hereby and thereby (including without limitation, the issuance of the Note as well as the issuance and reservation for issuance of the Conversion Shares issuable upon conversion of the Note) have been duly authorized by the Company’s Board of Directors and no further consent or authorization of the Company, its Board of Directors, its shareholders, or its debt holders is required, (i) the Transaction Documents (together with any other instruments executed in connection herewith or therewith) have been duly executed and delivered by the Company and Subsidiaries by its authorized representatives, and such authorized representatives are the true and official representative with authority to sign the Transaction Documents and the other instruments documents executed in connection herewith or therewith and bind the Company and Subsidiaries accordingly, and (iii) the Transaction Documents constitute, and upon execution and delivery by the Company and Subsidiaries as applicable, each of such instruments will constitute, a legal, valid and binding obligation of the Company and Subsidiaries, enforceable against the Company and Subsidiaries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Capitalization; Governing Documents.</w:t>
      </w:r>
      <w:r>
        <w:rPr>
          <w:rFonts w:ascii="Times New Roman;Times;Serif" w:hAnsi="Times New Roman;Times;Serif"/>
          <w:b w:val="false"/>
          <w:i w:val="false"/>
          <w:caps w:val="false"/>
          <w:smallCaps w:val="false"/>
          <w:sz w:val="20"/>
        </w:rPr>
        <w:t xml:space="preserve"> As of September 10, 2026, the authorized capital stock of the Company consists of: 950,000,000 authorized shares of Common Stock, of which 161,732,228 shares were issued and outstanding, and 50,000,000 authorized shares of Class B ordinary shares, of which 31,371,599 shares were issued and outstanding. All of such outstanding shares of capital stock of the Company, the Conversion Shares and Commitment Shares are, or upon issuance will be, duly authorized, validly issued, fully paid and non-assessable. No shares of capital stock of the Company are subject to preemptive rights or any other similar rights of the shareholders of the Company or any liens or encumbrances imposed through the actions or failure to act of the Company. As of the effective date of this Agreement, other than as publicly announced prior to such date and reflected in the SEC Documents of the Company (i) there are no outstanding options, warrants, scrip, rights to subscribe for, puts, calls, rights of first refusal, agreements, understandings, claims or other commitments or rights of any character whatsoever relating to, or securities or rights convertible into or exchangeable for any shares of capital stock of the Company or any of its Subsidiaries, or arrangements by which the Company or any of its Subsidiaries is or may become bound to issue additional shares of capital stock of the Company or any of its Subsidiaries, (ii) there are no agreements or arrangements under which the Company or any of its Subsidiaries is obligated to register the sale of any of its or their securities under the 1933 Act and (iii) there are no anti-dilution or price adjustment provisions contained in any security issued by the Company (or in any agreement providing rights to security holders) that will be triggered by the issuance of any of the Securities. The Company has furnished to the Buyer true and correct copies of the Company’s Certificate of Incorporation as in effect on the date hereof (“Certificate of Incorporation”), the Company’s By-laws, as in effect on the date hereof (the “By-laws”), and the terms of all securities convertible into or exercisable for Common Stock of the Company and the material rights of the holders thereof in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Conversion Shares.</w:t>
      </w:r>
      <w:r>
        <w:rPr>
          <w:rFonts w:ascii="Times New Roman;Times;Serif" w:hAnsi="Times New Roman;Times;Serif"/>
          <w:b w:val="false"/>
          <w:i w:val="false"/>
          <w:caps w:val="false"/>
          <w:smallCaps w:val="false"/>
          <w:sz w:val="20"/>
        </w:rPr>
        <w:t xml:space="preserve"> The Conversion Shares are duly authorized and reserved for issuance and, upon conversion of the Note in accordance with its terms,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Issuance of Commitment Shares.</w:t>
      </w:r>
      <w:r>
        <w:rPr>
          <w:rFonts w:ascii="Times New Roman;Times;Serif" w:hAnsi="Times New Roman;Times;Serif"/>
          <w:b w:val="false"/>
          <w:i w:val="false"/>
          <w:caps w:val="false"/>
          <w:smallCaps w:val="false"/>
          <w:sz w:val="20"/>
        </w:rPr>
        <w:t xml:space="preserve"> The issuance of the Commitment Shares are duly authorized and will be validly issued, fully paid and non-assessable, and free from all taxes, liens, claims and encumbrances with respect to the issue thereof and shall not be subject to preemptive rights or other similar rights of shareholders of the Company and will not impose personal liability upon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xml:space="preserve"> The Company understands and acknowledges the potentially dilutive effect of the Conversion Shares to the Common Stock upon the conversion of the Note. The Company further acknowledges that its obligation to issue, upon conversion of the Note, the Conversion Shares, are absolute and unconditional regardless of the dilutive effect that such issuance may have on the ownership interests of other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of the Transaction Documents by the Company and Subsidiaries, and the consummation by the Company and Subsidiaries of the transactions contemplated hereby and thereby (including, without limitation, the issuance and reservation for issuance of the Conversion Shares) will not (i) conflict with or result in a violation of any provision of the Certificate of Incorporation or By-laws, or (ii) violate or conflict with, or result in a breach of any provision of, or constitute a default (or an event which with notice or lapse of time or both could become a default) under, or give to others any rights of termination, amendment, acceleration or cancellation of, any agreement, note, evidence of indebtedness, indenture, patent, patent license or instrument to which the Company or any of its Subsidiaries is a party, or (iii) result in a violation of any law, rule, regulation, order, judgment or decree (including federal and state securities laws and regulations and regulations of any self-regulatory organizations to which the Company or its securities is subject) applicable to the Company or any of its Subsidiaries or by which any property or asset of the Company or any of its Subsidiaries is bound or affected (except for such conflicts, defaults, terminations, amendments, accelerations, cancellations and violations as would not, individually or in the aggregate, have a Material Adverse Effect), or (iv) trigger any anti-dilution and/or ratchet provision contained in any other contract in which the Company is a party thereto or any security issued by the Company. Neither the Company nor any of its Subsidiaries is in violation of its Certificate of Incorporation, By-laws or other organizational documents and neither the Company nor any of its Subsidiaries is in default (and no event has occurred which with notice or lapse of time or both could put the Company or any of its Subsidiaries in default) under, and neither the Company nor any of its Subsidiaries has taken any action or failed to take any action that would give to others any rights of termination, amendment, acceleration or cancellation of, any agreement, indenture or instrument to which the Company or any of its Subsidiaries is a party or by which any property or assets of the Company or any of its Subsidiaries is bound or affected, except for possible defaults as would not, individually or in the aggregate, have a Material Adverse Effect. The businesses of the Company and its Subsidiaries, if any, are not being conducted, and shall not be conducted so long as the Buyer owns any of the Securities, in violation of any law, ordinance or regulation of any governmental entity. Except as specifically contemplated by this Agreement and as required under the 1933 Act and any applicable state securities laws, the Company is not required to obtain any consent, authorization or order of, or make any filing or registration with, any court, governmental agency, regulatory agency, self-regulatory organization or stock market or any third party in order for it to execute, deliver or perform any of its obligations under this Agreement and the Note in accordance with the terms hereof or thereof or to issue and sell the Note in accordance with the terms hereof and, upon conversion of the Note, issue Conversion Shares. All consents, authorizations, orders, filings and registrations which the Company is required to obtain pursuant to the preceding sentence have been obtained or effected on or prior to the date hereof. The Company is not in violation of the listing requirements of the Principal Market (as defined herein) and does not reasonably anticipate that the Common Stock will be delisted by the Principal Market in the foreseeable future. The Company and its Subsidiaries are unaware of any facts or circumstances which might give rise to any of the foregoing. The “Principal Market” shall mean the principal securities exchange where such Common Stock is listed, including but not limited to any tier of the NASDAQ Stock Market (including NASDAQ Capital Market), or the NYSE American, or any successor to such markets (but excluding all OTC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xml:space="preserve">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(other than exhibits to such documents) incorporated by reference therein, being hereinafter referred to herein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for such statements as have been amended or updated in subsequent filings prior the date hereof).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United States generally accepted accounting principles, consistently applied, during the periods involved and fairly present in all material respects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Except as set forth in the financial statements of the Company included in the SEC Documents, the Company has no liabilities, contingent or otherwise, other than (i) liabilities incurred in the ordinary course of business subsequent to March 31, 2026, and (ii) obligations under contracts and commitments incurred in the ordinary course of business and not required under generally accepted accounting principles to be reflected in such financial statements, which, individually or in the aggregate, are not material to the financial condition or operating results of the Company. The Company is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March 31, 2026, there has been no material adverse change and no material adverse development in the assets, liabilities, business, properties, operations, financial condition, results of operations, prospects or 1934 Act reporting status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xml:space="preserve"> There is no action, suit, claim, proceeding, inquiry or investigation before or by any court, public board, government agency, self-regulatory organization or body pending or, to the knowledge of the Company or any of its Subsidiaries, threatened against or affecting the Company or any of its Subsidiaries, or their officers or directors in their capacity as such, that could have a Material Adverse Effect. The SEC Documents contain a complete list and summary description of any pending or, to the knowledge of the Company, threatened proceeding against or affecting the Company or any of its Subsidiaries, without regard to whether it would have a Material Adverse Effect. The Company and its Subsidiaries are unaware of any facts or circumstances which might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Company and each of its Subsidiaries owns or possesses the requisite licenses or rights to use all patents, patent applications, patent rights, inventions, know-how, trade secrets, trademarks, trademark applications, service marks, service names, trade names and copyrights (“Intellectual Property”) necessary to enable it to conduct its business as now operated (and, as presently contemplated to be operated in the future); there is no claim or action by any person pertaining to, or proceeding pending, or to the Company’s knowledge threatened, which challenges the right of the Company or of a Subsidiary with respect to any Intellectual Property necessary to enable it to conduct its business as now operated (and, as presently contemplated to be operated in the future); to the best of the Company’s knowledge, the Company’s or its Subsidiaries’ current and intended products, services and processes do not infringe on any Intellectual Property or other rights held by any person; and the Company is unaware of any facts or circumstances which might give rise to any of the foregoing. The Company and each of its Subsidiaries have taken reasonable security measures to protect the secrecy, confidentiality and value of their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Materially Adverse Contracts, Etc.</w:t>
      </w:r>
      <w:r>
        <w:rPr>
          <w:rFonts w:ascii="Times New Roman;Times;Serif" w:hAnsi="Times New Roman;Times;Serif"/>
          <w:b w:val="false"/>
          <w:i w:val="false"/>
          <w:caps w:val="false"/>
          <w:smallCaps w:val="false"/>
          <w:sz w:val="20"/>
        </w:rPr>
        <w:t xml:space="preserve"> Neither the Company nor any of its Subsidiaries is subject to any charter, corporate or other legal restriction, or any judgment, decree, order, rule or regulation which in the judgment of the Company’s officers has or is expected in the future to have a Material Adverse Effect. Neither the Company nor any of its Subsidiaries is a party to any contract or agreement which in the judgment of the Company’s officers has or is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and each of its Subsidiaries has made or filed all federal, state and foreign income and all other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has not executed a waiver with respect to the statute of limitations relating to the assessment or collection of any foreign, federal, state or local tax. None of the Company’s tax returns is presently being audited by any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Except for arm’s length transactions pursuant to which the Company or any of its Subsidiaries makes payments in the ordinary course of business upon terms no less favorable than the Company or any of its Subsidiaries could obtain from third parties and other than the grant of stock options described in the SEC Documents, none of the officers, directors, or employees of the Company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information relating to or concerning the Company or any of its Subsidiaries set forth in this Agreement and provided to the Buyer pursuant to Section 2(d) hereof and otherwise in connection with the transactions contemplated hereby is true and correct in all material respects and the Company has not omitted to state any material fact necessary in order to make the statements made herein or therein, in light of the circumstances under which they were made, not misleading. No event or circumstance has occurred or exists with respect to the Company or any of its Subsidiaries or its or their business, properties, prospects, operations or financial conditions, which, under applicable law, rule or regulation, requires public disclosure or announcement by the Company but which has not been so publicly announced or disclosed (assuming for this purpose that the Company’s reports filed under the 1934 Act are being incorporated into an effective registration statement filed by the Company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Acknowledgment Regarding Buyer’s Purchase of Securities.</w:t>
      </w:r>
      <w:r>
        <w:rPr>
          <w:rFonts w:ascii="Times New Roman;Times;Serif" w:hAnsi="Times New Roman;Times;Serif"/>
          <w:b w:val="false"/>
          <w:i w:val="false"/>
          <w:caps w:val="false"/>
          <w:smallCaps w:val="false"/>
          <w:sz w:val="20"/>
        </w:rPr>
        <w:t xml:space="preserve"> The Company acknowledges and agrees that the Buyer is acting solely in the capacity of arm’s length purchaser with respect to this Agreement and the transactions contemplated hereby. The Company further acknowledges that the Buyer is not acting as a financial advisor or fiduciary of the Company (or in any similar capacity) with respect to this Agreement and the transactions contemplated hereby and any statement made by the Buyer or any of its respective representatives or agents in connection with this Agreement and the transactions contemplated hereby is not advice or a recommendation and is merely incidental to the Buyer’s purchase of the Securities. The Company further represents to the Buyer that the Company’s decision to enter into this Agreement has been based solely on the independent evaluation of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Neither the Company, nor any of its affiliates, nor any person acting on its or their behalf, has directly or indirectly made any offers or sales in any security or solicited any offers to buy any security under circumstances that would require registration under the 1933 Act of the issuance of the Securities to the Buyer. The issuance of the Securities to the Buyer will not be integrated with any other issuance of the Company’s securities (past, current or future) for purposes of any shareholder approval provisions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No Brokers; No Solicitation.</w:t>
      </w:r>
      <w:r>
        <w:rPr>
          <w:rFonts w:ascii="Times New Roman;Times;Serif" w:hAnsi="Times New Roman;Times;Serif"/>
          <w:b w:val="false"/>
          <w:i w:val="false"/>
          <w:caps w:val="false"/>
          <w:smallCaps w:val="false"/>
          <w:sz w:val="20"/>
        </w:rPr>
        <w:t xml:space="preserve"> The Company has taken no action which would give rise to any claim by any person for brokerage commissions, transaction fees or similar payments relating to this Agreement or the transactions contemplated hereby. The Company represents and warrants that neither the Buyer nor its employee(s), member(s), beneficial owner(s), or partner(s) solicited the Company to enter into this Agreement and consummate the transactions described in this Agreement. The Company represents and warrants that neither the Buyer nor its employee(s), member(s), beneficial owner(s), or partner(s) is required to be registered as a broker-dealer under the Securities Exchange Act of 1934 in order to (i) enter into or consummate the transactions encompassed by this Agreement, the Note, and the related transaction documents entered into in connection herewith (the “Transaction Documents”), (ii) fulfill the Buyer’s obligations under the Transaction Documents, or (iii) exercise any of the Buyer’s rights under the Transaction Documents (including but not limited to the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Permits; Compliance.</w:t>
      </w:r>
      <w:r>
        <w:rPr>
          <w:rFonts w:ascii="Times New Roman;Times;Serif" w:hAnsi="Times New Roman;Times;Serif"/>
          <w:b w:val="false"/>
          <w:i w:val="false"/>
          <w:caps w:val="false"/>
          <w:smallCaps w:val="false"/>
          <w:sz w:val="20"/>
        </w:rPr>
        <w:t xml:space="preserve"> The Company and each of its Subsidiaries is in possession of all franchises, grants, authorizations, licenses, permits, easements, variances, exemptions, consents, certificates, approvals and orders necessary to own, lease and operate its properties and to carry on its business as it is now being conducted (collectively, the “Company Permits”), and there is no action pending or, to the knowledge of the Company, threatened regarding suspension or cancellation of any of the Company Permits. Neither the Company nor any of its Subsidiaries is in conflict with, or in default or violation of, any of the Company Permits, except for any such conflicts, defaults or violations which, individually or in the aggregate, would not reasonably be expected to have a Material Adverse Effect. Since March 31, 2026, neither the Company nor any of its Subsidiaries has received any notification with respect to possible conflicts, defaults or violations of applicable laws, except for notices relating to possible conflicts, defaults or violations, which conflicts, defaults or violations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to the Company’s knowledge, with respect to the Company or any of its Subsidiaries or any predecessor of the Company, no past or present violations of Environmental Laws (as defined below), releases of any material into the environment, actions, activities, circumstances, conditions, events, incidents, or contractual obligations which may give rise to any common law environmental liability or any liability under the Comprehensive Environmental Response, Compensation and Liability Act of 1980 or similar federal, state, local or foreign laws and neither the Company nor any of its Subsidiaries has received any notice with respect to any of the foregoing, nor is any action pending or, to the Company’s knowledge, threatened in connection with any of the foregoing. The term “Environmental Laws”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those that are or were stored, used or disposed of in compliance with applicable law, no Hazardous Materials are contained on or about any real property currently owned, leased or used by the Company or any of its Subsidiaries, and no Hazardous Materials were released on or about any real property previously owned, leased or used by the Company or any of its Subsidiaries during the period the property was owned, leased or used by the Company or any of its Subsidiaries, except in the normal course of the Company’s or any of its Subsidiaries’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underground storage tanks on or under any real property owned, leased or used by the Company or any of its Subsidiaries that are not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xml:space="preserve"> 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would not have a Material Adverse Effect. Any real property and facilities held under lease by the Company and its Subsidiaries are held by them under valid, subsisting and enforceable leases with such exceptions as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Upon written request the Company will provide to the Buyer true and correct copies of all policies relating to directors’ and officers’ liability coverage, errors and omissions coverage, and commercial general liability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xml:space="preserve">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of its Subsidiaries, nor any director, officer, agent, employee or other person acting on behalf of the Company or any Subsidiary has, in the course of his actions for, or on behalf of, the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The Company (after giving effect to the transactions contemplated by this Agreement) is solvent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its assets have a fair market value in excess of the amount required to pay its probable liabilities on its existing debts as they become absolute and matured) and currently the Company has no information that would lead it to reasonably conclude that the Company would not, after giving effect to the transaction contemplated by this Agreement, have the ability to, nor does it intend to take any action that would impair its ability to, pay its debts from time to time incurred in connection therewith as such debts mature. The Company’s financial statements for its most recent fiscal year end and interim financial statements have been prepared assuming the Company will continue as a going concern, which contemplates the realization of assets and the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Investment Company.</w:t>
      </w:r>
      <w:r>
        <w:rPr>
          <w:rFonts w:ascii="Times New Roman;Times;Serif" w:hAnsi="Times New Roman;Times;Serif"/>
          <w:b w:val="false"/>
          <w:i w:val="false"/>
          <w:caps w:val="false"/>
          <w:smallCaps w:val="false"/>
          <w:sz w:val="20"/>
        </w:rPr>
        <w:t xml:space="preserve"> The Company is not, and upon the issuance and sale of the Securities as contemplated by this Agreement will not be an “investment company” required to be registered under the Investment Company Act of 1940 (an “Investment Company”). The Company is not controlled by an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No Off Balance Sheet Arrangements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1933 Act) connected with the Company in any capacity at the time of sale (each, an “Issuer Covered Person”) is subject to any of the “Bad Actor” disqualifications described in Rule 506(d)(1)(i) to (viii) under the 1933 Act (a “Disqualification Event”), except for a Disqualification Event covered by Rule 506(d)(2) or (d)(3). The Company has exercised reasonable care to determine whether any Issuer Covered Person is subject to a Disqualification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or that could reasonably be expected to cause or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Illegal or Unauthorized Payments; Political Contributions</w:t>
      </w:r>
      <w:r>
        <w:rPr>
          <w:rFonts w:ascii="Times New Roman;Times;Serif" w:hAnsi="Times New Roman;Times;Serif"/>
          <w:b w:val="false"/>
          <w:i w:val="false"/>
          <w:caps w:val="false"/>
          <w:smallCaps w:val="false"/>
          <w:sz w:val="20"/>
        </w:rPr>
        <w:t>. Neither the Company nor any of its Subsidiaries nor, to the Company’s knowledge,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Breach of Representations and Warranties by the Company.</w:t>
      </w:r>
      <w:r>
        <w:rPr>
          <w:rFonts w:ascii="Times New Roman;Times;Serif" w:hAnsi="Times New Roman;Times;Serif"/>
          <w:b w:val="false"/>
          <w:i w:val="false"/>
          <w:caps w:val="false"/>
          <w:smallCaps w:val="false"/>
          <w:sz w:val="20"/>
        </w:rPr>
        <w:t xml:space="preserve"> The Company agrees that if the Company breaches any of the representations or warranties set forth in this Section 3 and in addition to any other remedies available to the Buyer pursuant to this Agreement, it will be considered an Event of Default under Section 3.4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ADDITIONAL COVENANTS, AGREEMENTS AND ACKNOWLEDGEMENTS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xml:space="preserve"> The parties shall use their best efforts to satisfy timely each of the conditions described in Section 6 and 7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Form D; Blue Sky Laws</w:t>
      </w:r>
      <w:r>
        <w:rPr>
          <w:rFonts w:ascii="Times New Roman;Times;Serif" w:hAnsi="Times New Roman;Times;Serif"/>
          <w:b w:val="false"/>
          <w:i w:val="false"/>
          <w:caps w:val="false"/>
          <w:smallCaps w:val="false"/>
          <w:sz w:val="20"/>
        </w:rPr>
        <w:t>. The Company agrees to file a Form D with respect to the Securities if required under Regulation D and to provide a copy thereof to the Buyer promptly after such filing. The Company shall, on or before the Closing Date, take such action as the Company shall reasonably determine is necessary to qualify the Securities for sale to the Buyer at the applicable closing pursuant to this Agreement under applicable securities or “blue sky” laws of the states of the United States (or to obtain an exemption from such qualification), and shall provide evidence of any such action so taken to the Buyer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Company shall use the Purchase Price for business development and general working capital, and not for any other purpose, including but not limited to (i) the repayment of any indebtedness owed to officers, directors or employees of the Company or their affiliates, (ii) the repayment of any debt issued in corporate finance transactions (including but not limited to promissory notes that have the ability to be converted into Common Stock), (iii) any loan to or investment in any other corporation, partnership, enterprise or other person (except in connection with the Company’s currently existing operations), (iv) any loan, credit, or advance to any officers, directors, employees, or affiliates of the Company, or (v) in violation or contravention of any applicable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Right of Participation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shd w:fill="FFFFFF" w:val="clear"/>
        </w:rPr>
        <w:t xml:space="preserve">Other than arrangements that are in place or disclosed in </w:t>
      </w:r>
      <w:r>
        <w:rPr>
          <w:rFonts w:ascii="Times New Roman;Times;Serif" w:hAnsi="Times New Roman;Times;Serif"/>
          <w:b w:val="false"/>
          <w:i w:val="false"/>
          <w:caps w:val="false"/>
          <w:smallCaps w:val="false"/>
          <w:sz w:val="20"/>
        </w:rPr>
        <w:t xml:space="preserve">SEC Documents </w:t>
      </w:r>
      <w:r>
        <w:rPr>
          <w:rFonts w:ascii="Times New Roman;Times;Serif" w:hAnsi="Times New Roman;Times;Serif"/>
          <w:b w:val="false"/>
          <w:i w:val="false"/>
          <w:caps w:val="false"/>
          <w:smallCaps w:val="false"/>
          <w:sz w:val="20"/>
          <w:shd w:fill="FFFFFF" w:val="clear"/>
        </w:rPr>
        <w:t>prior to the date of this Agreement, from the date of this Agreement until the later of (i) eighteen (18) calendar months after the date of this Agreement or (ii) the date that the Note is extinguished in its entirety, the Company will not, (i) directly or indirectly, offer, sell, grant any option to purchase, or otherwise dispose of (or announce any offer, sale, grant or any option to purchase or other disposition of) any of its or its Subsidiaries’ debt, equity, or equity equivalent securities, including without limitation any debt, preferred shares or other instrument or security that is, at any time during its life and/or under any circumstances, convertible into, exchangeable, or exercisable for Common Stock (any such offer, sale, grant, disposition or announcement being referred to as a “Subsequent Placement”) or (ii) enter into any definitive agreement with regard to the foregoing, in each case unless the Company shall have first complied with this Section 4(d).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shd w:fill="FFFFFF" w:val="clear"/>
        </w:rPr>
        <w:t>The Company shall deliver to the Buyer an irrevocable written notice (the “Offer Notice”) of any proposed or intended Subsequent Placement, which shall (w) identify and describe the Subsequent Placement, (x) describe the price and other terms upon which they are to be issued, sold or exchanged, and the number or amount of the securities in the Subsequent Placement to be issued, sold, or exchanged and (y) offer to issue and sell to or exchange with the Buyer at least the greater of (i) $425,000.00 of the securities in the Subsequent Placement or (ii) an amount of the securities in the Subsequent Placement equal to the outstanding balance of the Note as of the date of the Offer Notice (in each case, an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shd w:fill="FFFFFF" w:val="clear"/>
        </w:rPr>
        <w:t>To accept an Offer, in whole or in part, the Buyer must deliver a written notice (the “Notice of Acceptance”) to the Company prior to the end of the fifth (5</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Trading Day (as defined in the Note) (“Trading Day”) after the Buyer’s receipt of the Offer Notice (the “Offer Period”), setting forth the amount that the Buyer elects to purchase (the “Subscription Amount”). The Company shall complete the Subsequent Placement and issue and sell the Subscription Amount to the Buyer upon terms and conditions (including, without limitation, unit prices and interest rates) set forth in the Offer Notice, unless a change to such terms and conditions is agreed to in writing between the Company and Buyer. The Buyer may elect to exchange any amounts owed under the Note (plus the prepayment premiums provided for in Section 1.8 of the Note if such exchange occurs during the Prepayment Period (as defined in the Note)) in lieu of cash consideration with respect to all or any portion of the Subscription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shd w:fill="FFFFFF" w:val="clear"/>
        </w:rPr>
        <w:t>Notwithstanding anything to the contrary contained herein, if the Company desires to modify or amend the terms or conditions of a Subsequent Placement at any time after the Offer Notice is given to Buyer (provided, however, that such modification or amendment to the terms or conditions cannot occur during any Offer Period), the Company shall deliver to the Buyer a new Offer Notice and the Offer Period of such new Offer shall expire at the end of the fifth (5</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Trading Day after the Buyer’s receipt of such new Offer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the Buyer in order to enforce any right or remedy under this Agreement, the Note and any document, agreement or instrument contemplated thereby. Notwithstanding any provision to the contrary contained in this Agreement, the Note and any document, agreement or instrument contemplated thereby, it is expressly agreed and provided that the total liability of the Company under this Agreement, the Note or any document, agreement or instrument contemplated thereby for payments which under applicable law are in the nature of interest shall not exceed the maximum lawful rate authorized under applicable law (the “Maximum Rate”), and, without limiting the foregoing, in no event shall any rate of interest or default interest, or both of them, when aggregated with any other sums which under applicable law in the nature of interest that the Company may be obligated to pay under this Agreement, the Note and any document, agreement or instrument contemplated thereby exceed such Maximum Rate. It is agreed that if the maximum contract rate of interest allowed by law applicable to this Agreement, the Note and any document, agreement or instrument contemplated thereby is increased or decreased by statute or any official governmental action subsequent to the date hereof, the new maximum contract rate of interest allowed by law will be the Maximum Rate applicable to this Agreement, the Note and any document, agreement or instrument contemplated thereby from the effective date thereof forward, unless such application is precluded by applicable law. If under any circumstances whatsoever, interest in excess of the Maximum Rate is paid by the Company to the Buyer with respect to indebtedness evidenced by this Agreement, the Note and any document, agreement or instrument contemplated thereby, such excess shall be applied by the Buyer to the unpaid principal balance of any such indebtedness or be refunded to the Company, the manner of handling such excess to be at the Buyer’s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Activities</w:t>
      </w:r>
      <w:r>
        <w:rPr>
          <w:rFonts w:ascii="Times New Roman;Times;Serif" w:hAnsi="Times New Roman;Times;Serif"/>
          <w:b w:val="false"/>
          <w:i w:val="false"/>
          <w:caps w:val="false"/>
          <w:smallCaps w:val="false"/>
          <w:sz w:val="20"/>
        </w:rPr>
        <w:t>. Commencing as of the date first above written, and until the earlier of payment of the Note in full or full conversion of the Note, the Company shall not, directly or indirectly, without the Buyer’s prior written consent, which consent shall not be unreasonably withheld: (a) change the nature of its business; or (b) sell, divest, acquire, change the structure of any material assets other than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xml:space="preserve"> The Company will, so long as the Buyer owns any of the Securities, maintain the listing and trading of its Common Stock on the Principal Market or any equivalent replacement exchange or electronic quotation system and will comply in all respects with the Company’s reporting, filing and other obligations under the bylaws or rules of the Financial Industry Regulatory Authority (“FINRA”) and such exchanges, as applicable. The Company shall promptly provide to the Buyer copies of any notices it receives from the Principal Market and any other exchanges or electronic quotation systems on which the Common Stock is then traded regarding the continued eligibility of the Common Stock for listing on such exchanges and quotation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xml:space="preserve"> The Company will, so long as the Buyer beneficially owns any of the Securities, maintain its corporate existence and shall not sell all or substantially all of the Company’s assets, except in the event of a merger or consolidation with the written consent of the Buyer or sale of all or substantially all of the Company’s assets with the written consent of the Buyer, where the surviving or successor entity in such transaction (i) assumes the Company’s obligations hereunder and under the agreements and instruments entered into in connection herewith and (ii) is a publicly traded corporation whose Common Stock is listed for trading or quotation on the Principal Market, any tier of the NASDAQ Stock Market, the New York Stock Exchange or the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 Integration.</w:t>
      </w:r>
      <w:r>
        <w:rPr>
          <w:rFonts w:ascii="Times New Roman;Times;Serif" w:hAnsi="Times New Roman;Times;Serif"/>
          <w:b w:val="false"/>
          <w:i w:val="false"/>
          <w:caps w:val="false"/>
          <w:smallCaps w:val="false"/>
          <w:sz w:val="20"/>
        </w:rPr>
        <w:t xml:space="preserve"> The Company shall not make any offers or sales of any security (other than the Securities) under circumstances that would require registration of the Securities being offered or sold hereunder under the 1933 Act or cause the offering of the Securities to be integrated with any other offering of securities by the Company for the purpose of any stockholder approval provision applicable to the Company or its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Compliance with 1934 Act; Public Information Failures.</w:t>
      </w:r>
      <w:r>
        <w:rPr>
          <w:rFonts w:ascii="Times New Roman;Times;Serif" w:hAnsi="Times New Roman;Times;Serif"/>
          <w:b w:val="false"/>
          <w:i w:val="false"/>
          <w:caps w:val="false"/>
          <w:smallCaps w:val="false"/>
          <w:sz w:val="20"/>
        </w:rPr>
        <w:t xml:space="preserve"> For so long as the Buyer beneficially owns the Note or any Conversion Shares, the Company shall comply with the reporting requirements of the 1934 Act; and the Company shall continue to be subject to the reporting requirements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Legal Counsel Opinions</w:t>
      </w:r>
      <w:r>
        <w:rPr>
          <w:rFonts w:ascii="Times New Roman;Times;Serif" w:hAnsi="Times New Roman;Times;Serif"/>
          <w:b w:val="false"/>
          <w:i w:val="false"/>
          <w:caps w:val="false"/>
          <w:smallCaps w:val="false"/>
          <w:sz w:val="20"/>
        </w:rPr>
        <w:t>. Upon the request of the Buyer from to time to time, the Company shall be responsible (at its cost) for promptly supplying to the Company’s transfer agent and the Buyer a customary legal opinion letter of its counsel (the “Legal Counsel Opinion”) to the effect that the resale of the Conversion Shares by the Buyer or its affiliates, successors and assigns is exempt from the registration requirements of the 1933 Act pursuant to Rule 144 (provided the requirements of Rule 144 are satisfied and provided the Conversion Shares are not then registered under the 1933 Act for resale pursuant to an effective registration statement) or other applicable exemption (provided the requirements of such other applicable exemption are satisfied). In addition, the Buyer may (at the Company’s cost) at any time secure its own legal counsel to issue the Legal Counsel Opinion, and the Company will instruct its transfer agent to accept such opinion. The Company hereby agrees that it may never take the position that it is a “shell company” in connection with its obligations under this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Piggy-Back Registration Rights</w:t>
      </w:r>
      <w:r>
        <w:rPr>
          <w:rFonts w:ascii="Times New Roman;Times;Serif" w:hAnsi="Times New Roman;Times;Serif"/>
          <w:b w:val="false"/>
          <w:i w:val="false"/>
          <w:caps w:val="false"/>
          <w:smallCaps w:val="false"/>
          <w:sz w:val="20"/>
        </w:rPr>
        <w:t>. If the Company proposes to file any registration statement covering any of its securities (for sale by the Company, for resale by the holder(s) of such securities, or otherwise) (each a “Registration Statement”), the Company shall at each such time give written notice to Holder of its intention to do so (each a “Registration Notice”) at least seven (7) calendar days prior to the filing of such Registration Statement and of the registration rights granted under this Agreement. Upon the written request of Holder made to the Company within three (3) calendar days after the receipt of any such Registration Notice, the Company shall, at its sole cost and expense, effect the registration of all Conversion Shares underlying the Note and Commitment Shares which the Company has been so requested to register by Holder in such Registration Statement, by inclusion of such Conversion Shares and Commitment Shares in the Registration Statement, to the extent required to permit the resale and disposition (in accordance with the intended methods of disposition, including but not limited to sales at prevailing market prices) of the Conversion Shares and Commitment Shares by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Most Favored Nation</w:t>
      </w:r>
      <w:r>
        <w:rPr>
          <w:rFonts w:ascii="Times New Roman;Times;Serif" w:hAnsi="Times New Roman;Times;Serif"/>
          <w:b w:val="false"/>
          <w:i w:val="false"/>
          <w:caps w:val="false"/>
          <w:smallCaps w:val="false"/>
          <w:sz w:val="20"/>
        </w:rPr>
        <w:t>. While the Note or any principal amount, interest or fees or expenses due thereunder remain outstanding and unpaid, the Company shall not enter into any public or private offering of its securities (including securities convertible into shares of Common Stock) with any individual or entity (an “Other Investor”) that has the effect of establishing rights or otherwise benefiting such Other Investor in a manner more favorable in any material respect to such Other Investor (even if the Other Investor does not receive the benefit of such more favorable term until a default occurs under such other security) than the rights and benefits established in favor of the Buyer by this Agreement or the Note unless, in any such case, the Buyer has been provided with such rights and benefits pursuant to a definitive written agreement or agreements between the Company and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Subsequent Variable Rate Transactions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From the date of this Agreement until the earlier of (i) twenty-four (24) calendar months after the date of this Agreement or (ii) the date that the Note is extinguished in its entirety</w:t>
      </w:r>
      <w:r>
        <w:rPr>
          <w:rFonts w:ascii="Times New Roman;Times;Serif" w:hAnsi="Times New Roman;Times;Serif"/>
          <w:b w:val="false"/>
          <w:i w:val="false"/>
          <w:caps w:val="false"/>
          <w:smallCaps w:val="false"/>
          <w:sz w:val="20"/>
        </w:rPr>
        <w:t>, the Company shall be prohibited from effecting or entering into an agreement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any agreement, including, but not limited to, an Equity Line of Credit (as defined in the Note) (an “Equity Line of Credit”), whereby the Company may issue securities at a future determined price. The Buyer shall be entitled to obtain injunctive relief against the Company to preclude any such issuance, which remedy shall be in addition to any right to collect damages. Notwithstanding the foregoing, a Variable Rate Transaction shall not include an Equity Line of Credit between the Company and Hudson Global Ventures, LLC, a Nevada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neither it, nor any other person acting on its behalf will provide the Buyer or its agents or counsel with any information that constitutes, or the Company reasonably believes constitutes, material non-public information, unless prior thereto the Buyer shall have consented to the receipt of such information and agreed with the Company to keep such information confidential. The Company understands and confirms that the Buyer shall be relying on the foregoing covenant in effecting transactions in securities of the Company. To the extent that the Company delivers any material, non-public information to the Buyer without such Buyer’s consent, the Company hereby covenants and agrees that such Buyer shall not have any duty of confidentiality to the Company, any of its Subsidiaries, or any of their respective officers, directors, agents, employees or affiliates, not to trade on the basis of, such material, non- public information, provided that the Buyer shall remain subject to applicable law. To the extent that any notice provided, information provided, or any other communications made by the Company, to the Buyer, constitutes or contains material non-public information regarding the Company or any Subsidiaries, the Company shall simultaneously file such notice or other material information with the SEC pursuant to a Current Report on Form 8-K. In addition to any other remedies provided by this Agreement or the related transaction documents, if the Company provides any material non-public information to the Buyer without their prior written consent, and it fails to immediately (no later than that business day) file a Form 8-K disclosing this material non-public information, it shall pay the Buyer as partial liquidated damages and not as a penalty a sum equal to $3,000 per day beginning with the day the information is disclosed to the Buyer and ending and including the day the Form 8-K disclosing this information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Within 60 calendar days of the Closing, the Company shall purchase director and officer insurance on behalf of the Company’s (including its subsidiary) officers and directors for a period of 18 months after the Closing with respect to any losses, claims, damages, liabilities, costs and expense in connection with any actual or threatened claim or proceeding that is based on, or arises out of their status as a director or officer of the Company. The insurance policy shall provide for two years of tail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No Broker-Dealer Acknowledgement</w:t>
      </w:r>
      <w:r>
        <w:rPr>
          <w:rFonts w:ascii="Times New Roman;Times;Serif" w:hAnsi="Times New Roman;Times;Serif"/>
          <w:b w:val="false"/>
          <w:i w:val="false"/>
          <w:caps w:val="false"/>
          <w:smallCaps w:val="false"/>
          <w:sz w:val="20"/>
        </w:rPr>
        <w:t>.   Absent a final adjudication from a court of competent jurisdiction stating otherwise, the Company shall not to any person, institution, governmental or other entity, state, claim, allege, or in any way assert, that Buyer is currently, or ever has been, a broker-dealer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Breach of Covenants.</w:t>
      </w:r>
      <w:r>
        <w:rPr>
          <w:rFonts w:ascii="Times New Roman;Times;Serif" w:hAnsi="Times New Roman;Times;Serif"/>
          <w:b w:val="false"/>
          <w:i w:val="false"/>
          <w:caps w:val="false"/>
          <w:smallCaps w:val="false"/>
          <w:sz w:val="20"/>
        </w:rPr>
        <w:t xml:space="preserve"> The Company acknowledges and agrees that if the Company breaches any of the covenants set forth in this Section 4, in addition to any other remedies available to the Buyer pursuant to this Agreement, it will be considered an Event of Default under Section 3.3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issue irrevocable instructions to the Company’s transfer agent to issue certificates and/or issue shares electronically at the Buyer’s option, registered in the name of the Buyer or its nominee, upon conversion of the Note, the Conversion Shares and Commitment Shares, in such amounts as specified from time to time by the Buyer to the Company in accordance with the terms thereof (the “Irrevocable Transfer Agent Instructions”). In the event that the Company proposes to replace its transfer agent, the Company shall provide, prior to the effective date of such replacement, a fully executed Irrevocable Transfer Agent Instructions in a form as initially delivered pursuant to this Agreement (including but not limited to the provision to irrevocably reserved shares of Common Stock in the Reserved Amount (as defined in the Note)) signed by the successor transfer agent to the Company and the Company. Prior to registration of the Conversion Shares under the 1933 Act or the date on which the Conversion Shares may be sold pursuant to Rule 144, Rule 144A, Regulation S, or other applicable exemption without any restriction as to the number of Securities as of a particular date that can then be immediately sold, all such certificates or book entry shares shall bear the restrictive legend specified in Section 2(g) of this Agreement. The Company warrants that: (i) no instruction other than the Irrevocable Transfer Agent Instructions referred to in this Section 5 will be given by the Company to its transfer agent and that the Securities shall otherwise be freely transferable on the books and records of the Company as and to the extent provided in this Agreement and the Note; (ii) it will not direct its transfer agent not to transfer or delay, impair, and/or hinder its transfer agent in transferring (or issuing)(electronically or in certificated form) any certificate for Securities to be issued to the Buyer upon conversion of or otherwise pursuant to the Note as and when required by the Note and this Agreement; (iii) it will not fail to remove (or directs its transfer agent not to remove or impairs, delays, and/or hinders its transfer agent from removing) any restrictive legend (or to withdraw any stop transfer instructions in respect thereof) on any certificate for any Securities issued to the Buyer upon conversion of or otherwise pursuant to the Note as and when required by the Note and/or this Agreement and (iv) it will provide any required corporate resolutions and issuance approvals to its transfer agent within 6 hours of each conversion of the Note. Nothing in this Section shall affect in any way the Buyer’s obligations and agreement set forth in Section 2(g) hereof to comply with all applicable prospectus delivery requirements, if any, upon re-sale of the Securities. If the Buyer provides the Company, at the cost of the Company, with (i) an opinion of counsel in form, substance and scope customary for opinions in comparable transactions, to the effect that a public sale or transfer of such Securities may be made without registration under the 1933 Act and such sale or transfer is effected or (ii) the Buyer provides reasonable assurances that the Securities can be sold pursuant to 144, Rule 144A, Regulation S, or other applicable exemption, the Company shall permit the transfer, and, in the case of the Securities, promptly instruct its transfer agent to issue one or more certificates, free from restrictive legend, in such name and in such denominations as specified by the Buyer. The Company acknowledges that a breach by it of its obligations hereunder will cause irreparable harm to the Buyer, by vitiating the intent and purpose of the transactions contemplated hereby. Accordingly, the Company acknowledges that the remedy at law for a breach of its obligations under this Section 5 may be inadequate and agrees, in the event of a breach or threatened breach by the Company of the provisions of this Section, that the Buyer shall be entitled, in addition to all other available remedies, to an injunction restraining any breach and requiring immediate transfer,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Company’s Obligation to Sell.</w:t>
      </w:r>
      <w:r>
        <w:rPr>
          <w:rFonts w:ascii="Times New Roman;Times;Serif" w:hAnsi="Times New Roman;Times;Serif"/>
          <w:b w:val="false"/>
          <w:i w:val="false"/>
          <w:caps w:val="false"/>
          <w:smallCaps w:val="false"/>
          <w:sz w:val="20"/>
        </w:rPr>
        <w:t xml:space="preserve"> The obligation of the Company hereunder to issue and sell the Note to the Buyer at the Closing is subject to the satisfaction, at or before the Closing Date, of each of the following conditions thereto, provided that these conditions are for the Company’s sole benefit and may be waived by the Company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have executed the Transaction Documents and delivered the same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delivered the Purchase Price in accordance with Section 1(b)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Buyer shall be true and correct in all material respects as of the date when made and as of the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Conditions to The Buyer’s Obligation to Purchase.</w:t>
      </w:r>
      <w:r>
        <w:rPr>
          <w:rFonts w:ascii="Times New Roman;Times;Serif" w:hAnsi="Times New Roman;Times;Serif"/>
          <w:b w:val="false"/>
          <w:i w:val="false"/>
          <w:caps w:val="false"/>
          <w:smallCaps w:val="false"/>
          <w:sz w:val="20"/>
        </w:rPr>
        <w:t xml:space="preserve"> The obligation of the Buyer hereunder to purchase the Note, on the Closing Date, is subject to the satisfaction, at or before the Closing Date, of each of the following conditions, provided that these conditions are for the Buyer’s sole benefit and may be waived by the Buyer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Subsidiaries, as applicable, shall have executed the Transaction Documents and delivered the same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to the Buyer the duly executed Note as well as the Closing Commitment Shares and Additional Shares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Irrevocable Transfer Agent Instructions, in form and substance satisfactory to the Buyer, shall have been delivered to and acknowledged in writing by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representations and warranties of the Company shall be true and correct in all material respects as of the date when made and as of Closing Date, as though made at such time (except for representations and warranties that speak as of a specific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shall have occurred which could reasonably be expected to have a Material Adverse Effect on the Company including but not limited to a change in the 1934 Act reporting status of the Company or the failure of the Company to be timely in its 1934 Act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Trading in the Common Stock on the Principal Market shall not have been suspended by the SEC, FINRA or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delivered to the Buyer (i) a certificate evidencing the formation and good standing of the Company and each of its Subsidiaries in such entity’s jurisdiction of formation issued by the Secretary of State (or comparable office) of such jurisdiction, as of a date within ten (10) days of the Closing Date and (ii) resolutions adopted by the Company’s Board of Directors at a duly called meeting or by unanimous written consent authorizing this Agreement and all other documents, instruments and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Governing Law;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Arbitration of Claims; Governing Law; Venue</w:t>
      </w:r>
      <w:r>
        <w:rPr>
          <w:rFonts w:ascii="Times New Roman;Times;Serif" w:hAnsi="Times New Roman;Times;Serif"/>
          <w:b w:val="false"/>
          <w:i w:val="false"/>
          <w:caps w:val="false"/>
          <w:smallCaps w:val="false"/>
          <w:sz w:val="20"/>
        </w:rPr>
        <w:t xml:space="preserve">. The Company and Buyer shall submit all Claims (as defined in Exhibit B of this Purchase Agreement) (the “Claims”) arising under this Agreement or any other agreement between the Company and Buyer or their respective affiliates (including but not limited to the Transaction Documents) or any Claim relating to the relationship of the Company and Buyer or their respective affiliates to binding arbitration pursuant to the arbitration provisions set forth in Exhibit B of the Purchase Agreement (the “Arbitration Provisions”). The Company and Buyer hereby acknowledge and agree that the Arbitration Provisions are unconditionally binding on the Company and Buyer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Buyer may rely upon the foregoing representations and covenants of Company regarding the Arbitration Provisions. This Agreement shall be construed and enforced in accordance with, and all questions concerning the construction, validity, interpretation and performance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Buyer consent to and expressly agree that the exclusive venue for arbitration of any Claims arising under this Agreement or any other agreement between the Company and Buyer or their respective affiliates (including but not limited to the Transaction Documents) or any Claim relating to the relationship of the Company and Buyer or their respective affiliates shall be in the State of Delaware. Without modifying the Company’s and Buyer’s mandatory obligations to resolve disputes hereunder pursuant to the Arbitration Provisions, for any litigation arising in connection with any of the Transaction Documents (and notwithstanding the terms (specifically including any governing law and venue terms) of any transfer agent services agreement or other agreement between the Company’s transfer agent and the Company, such litigation specifically includes, without limitation any action between or involving Company and the Company’s transfer agent under the Irrevocable Transfer Agent Instructions or otherwise related to Buyer in any way (specifically including, without limitation, any action where Company seeks to obtain an injunction, temporary restraining order, or otherwise prohibit the Company’s transfer agent from issuing shares of Common Stock to Buyer for any reason)), each party hereto hereby (i) consents to and expressly submits to the exclusive personal jurisdiction of any state or federal court sitting in the State of Delaware, (ii) expressly submits to the exclusive venue of any such court for the purposes hereof, (iii) agrees to not bring any such action (specifically including, without limitation, any action where Company seeks to obtain an injunction, temporary restraining order, or otherwise prohibit the Company’s transfer agent from issuing shares of Common Stock to Buyer for any reason) outside of any state or federal court sitting in the State of Delaware, and (iv) waives any claim of improper venue and any claim or objection that such courts are an inconvenient forum or any other claim, defense or objection to the bringing of any such proceeding in such jurisdiction or to any claim that such venue of the suit, action or proceeding is improper. Notwithstanding anything in the foregoing to the contrary, nothing herein shall limit, or shall be deemed or construed to limit, the ability of the Buyer to realize on any collateral or any other security, or to enforce a judgment or other court ruling in favor of the Buyer, including through a legal action in any court of competent jurisdiction. The Company hereby irrevocably waives, and agrees not to assert in any suit, action or proceeding, any objection to jurisdiction and venue of any action instituted hereunder, any claim that it is not personally subject to the jurisdiction of any such court, and any claim that such suit, action or proceeding is brought in an inconvenient forum or that the venue of such suit, action or proceeding is improper (including but not limited to based upon </w:t>
      </w:r>
      <w:r>
        <w:rPr>
          <w:rFonts w:ascii="Times New Roman;Times;Serif" w:hAnsi="Times New Roman;Times;Serif"/>
          <w:b w:val="false"/>
          <w:i/>
          <w:caps w:val="false"/>
          <w:smallCaps w:val="false"/>
          <w:sz w:val="20"/>
        </w:rPr>
        <w:t>forum non conveniens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COMPANY HEREBY IRREVOCABLY WAIVES ANY RIGHT IT MAY HAVE, AND AGREES NOT TO REQUEST, A JURY TRIAL FOR THE ADJUDICATION OF ANY DISPUTE HEREUNDER OR IN CONNECTION WITH OR ARISING OUT OF THIS AGREEMENT OR ANY TRANSACTIONS CONTEMPLATED HEREBY</w:t>
      </w:r>
      <w:r>
        <w:rPr>
          <w:rFonts w:ascii="Times New Roman;Times;Serif" w:hAnsi="Times New Roman;Times;Serif"/>
          <w:b w:val="false"/>
          <w:i w:val="false"/>
          <w:caps w:val="false"/>
          <w:smallCaps w:val="false"/>
          <w:sz w:val="20"/>
        </w:rPr>
        <w:t>. The Company irrevocably waives personal service of process and consents to process being served in any suit, action or proceeding in connection with this Agreement or any other agreement, certificate, instrument or document contemplated hereby or thereby by mailing a copy thereof via registered or certified mail or overnight delivery (with evidence of delivery) to Company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prevailing party in any action or dispute brought in connection with this Agreement or any other agreement, certificate, instrument or document contemplated hereby or thereby shall be entitled to recover from the other party its reasonable attorney’s fees and costs.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an original but all of which shall constitute one and the same agreement and shall become effective when counterparts have been signed by each party and delivered to the other party. A facsimile or .pdf signature shall be considered due execution and shall be binding upon the signatory thereto with the same force and effect as if the signature were an original, not a facsimile or .pdf signature. Delivery of a counterpart signature hereto by facsimile or email/.pdf transmission shall be deemed validly delivery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xml:space="preserve"> This Agreement shall be deemed to be jointly drafted by the Company and the Buyer and shall not be construed against any person as the drafter hereof. The headings of this Agreement are for convenience of reference only and shall not form part of, or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In the event that any provision of this Agreement, the Note, or any other agreement or instrument delivered in connection herewith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Agreement, the Note, or any other agreement, certificate, instrument or document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xml:space="preserve"> This Agreement, the Note,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or any agreement or instrument contemplated hereby may be waived or amended other than by an instrument in writing signed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e-mail or facsimile, addressed as set forth below or to such other address as such party shall have specified most recently by written notice. Any notice or other communication required or permitted to be given hereunder shall be deemed effective (a) upon hand delivery or delivery by e-mail or facsimile, with accurate confirmation generated by the transmitting facsimile machine,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1910-1912A, Tower 3, China Hong Kong City</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Canton Road, Tsim Sha Tsui, Kowloon Hong Kong</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Ling Ngai Lok</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assigns. The Company shall not assign this Agreement or any rights or obligations hereunder without the prior written consent of the Buyer. The Buyer may assign its rights hereunder to any “accredited investor” (as defined in Rule 501(a) of the 1933 Act) in a private transaction from the Buyer or to any of its “affiliates,” as that term is defined under the 1934 Act, without the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of the Company and the agreements and covenants set forth in this Agreement shall survive the closing hereunder notwithstanding any due diligence investigation conducted by or on behalf of the Buyer. The Company agrees to indemnify and hold harmless the Buyer and all their officers, directors, employees and agents for loss or damage arising as a result of or related to any breach or alleged breach by the Company of any of its representations, warranties and covenants set forth in this Agreement or any of its covenants and obligations under this Agreement, including advancement of expenses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xml:space="preserve"> The Company, and the Buyer shall have the right to review a reasonable period of time before issuance of any press releases, SEC, Principal Market or FINRA filings, or any other public statements with respect to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be entitled, without the prior approval of the Buyer, to make any press release or SEC, Principal Market (or other applicable trading market) or FINRA filings with respect to such transactions as is required by applicable law and regulations (although the Buyer shall be consulted by the Company in connection with any such press release prior to its release and shall be provided with a copy thereof and be given an opportunity to comment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xml:space="preserve">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Buyer’s execution and delivery of this Agreement and acquiring the Securities hereunder, and in addition to all of the Company’s other obligations under this Agreement or the Note, the Company shall defend, protect, indemnify and hold harmless the Buyer and its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this Agreement, the Note or any other agreement, certificate, instrument or document contemplated hereby or thereby, (b) any breach of any covenant, agreement or obligation of the Company contained in this Agreement, the Note or any other agreement, certificate, instrument or document contemplated hereby or thereby or (c) any cause of action, suit or claim brought or made against such Indemnitee by a third party (including for these purposes a derivative action brought on behalf of the Company) and arising out of or resulting from (i) the execution, delivery, performance or enforcement of this Agreement, the Note or any other agreement, certificate, instrument or document contemplated hereby or thereby, (ii) any transaction financed or to be financed in whole or in part, directly or indirectly, with the proceeds of the issuance of the Securities, or (iii) the status of the Buyer or holder of the Securities as an investor in the Company pursuant to the transactions contemplated by this Agreement. To the extent that the foregoing undertaking by the Company may be unenforceable for any reason, the Company shall make the maximum contribution to the payment and satisfaction of each of the Indemnified Liabilities that is permissible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The Company acknowledges that a breach by it of its obligations hereunder will cause irreparable harm to the Buyer by vitiating the intent and purpose of the transaction contemplated hereby. Accordingly, the Company acknowledges that the remedy at law for a breach of its obligations under this Agreement, the Note, or any other agreement, certificate, instrument or document contemplated hereby or thereby will be inadequate and agrees, in the event of a breach or threatened breach by the Company of the provisions of this Agreement, the Note, or any other agreement, certificate, instrument or document contemplated hereby or thereby, that the Buyer shall be entitled, in addition to all other available remedies at law or in equity, and in addition to the penalties assessable herein, to an injunction or injunctions restraining, preventing or curing any breach of this Agreement, the Note, or any other agreement, certificate, instrument or document contemplated hereby or thereby, and to enforce specifically the terms and provisions hereof and thereof, without the necessity of showing economic loss and without any bond or other security being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(i) Company makes a payment or payments to the Buyer hereunder, pursuant to the Note or pursuant to any other agreement, certificate, instrument or document contemplated hereby or thereby, or (ii) the Buyer enforces or exercises its rights hereunder, pursuant to the Note or pursuant to any other agreement, certificate, instrument or document contemplated hereby or thereby, and such payment or payments or the proceeds of such enforcement or exercise or any part thereof (including but not limited to the sale of the Securities) are for any reason (i) subsequently invalidated, declared to be fraudulent or preferential, set aside, recovered from, or disgorged by the Buyer, or (ii) are required to be refunded, repaid or otherwise restored to the Company, a trustee, receiver, government entity, or any other person or entity under any law (including, without limitation, any bankruptcy law, foreign, state or federal law, common law or equitable cause of action), then (i) to the extent of any such restoration the obligation or part thereof originally intended to be satisfied shall be revived and continued in full force and effect as if such payment had not been made or such enforcement or setoff had not occurred and (ii) the Company shall immediately pay to the Buyer a dollar amount equal to the amount that was for any reason (i) subsequently invalidated, declared to be fraudulent or preferential, set aside, recovered from, or disgorged by the Buyer, or (ii) required to be refunded, repaid or otherwise restored to the Company, a trustee, receiver, government entity, or any other person or entity under any law (including, without limitation, any bankruptcy law, foreign, state or federal law, common law or equitable cause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xml:space="preserve"> No failure or delay on the part of the Buyer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of the Buyer existing hereunder are cumulative to, and not exclusive of, any rights or remedies otherwise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Buyer and the Company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380"/>
        <w:gridCol w:w="650"/>
        <w:gridCol w:w="3230"/>
        <w:gridCol w:w="75"/>
      </w:tblGrid>
      <w:tr>
        <w:trPr/>
        <w:tc>
          <w:tcPr>
            <w:tcW w:w="4260" w:type="dxa"/>
            <w:gridSpan w:val="3"/>
            <w:tcBorders/>
            <w:vAlign w:val="center"/>
          </w:tcPr>
          <w:p>
            <w:pPr>
              <w:pStyle w:val="TableContents"/>
              <w:bidi w:val="0"/>
              <w:spacing w:before="0" w:after="283"/>
              <w:jc w:val="left"/>
              <w:rPr>
                <w:b/>
              </w:rPr>
            </w:pPr>
            <w:r>
              <w:rPr>
                <w:b/>
              </w:rPr>
              <w:t>Solowin Holdings</w:t>
            </w:r>
          </w:p>
        </w:tc>
        <w:tc>
          <w:tcPr>
            <w:tcW w:w="75" w:type="dxa"/>
            <w:tcBorders/>
            <w:vAlign w:val="center"/>
          </w:tcPr>
          <w:p>
            <w:pPr>
              <w:pStyle w:val="TableContents"/>
              <w:bidi w:val="0"/>
              <w:spacing w:before="0" w:after="283"/>
              <w:jc w:val="left"/>
              <w:rPr/>
            </w:pPr>
            <w:r>
              <w:rPr/>
              <w:t> </w:t>
            </w:r>
          </w:p>
        </w:tc>
      </w:tr>
      <w:tr>
        <w:trPr/>
        <w:tc>
          <w:tcPr>
            <w:tcW w:w="42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388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230" w:type="dxa"/>
            <w:tcBorders/>
            <w:vAlign w:val="center"/>
          </w:tcPr>
          <w:p>
            <w:pPr>
              <w:pStyle w:val="TableContents"/>
              <w:bidi w:val="0"/>
              <w:spacing w:before="0" w:after="283"/>
              <w:jc w:val="left"/>
              <w:rPr/>
            </w:pPr>
            <w:r>
              <w:rPr/>
              <w:t>LING NGAI LOK</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23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15" w:type="dxa"/>
        <w:jc w:val="left"/>
        <w:tblInd w:w="0" w:type="dxa"/>
        <w:tblLayout w:type="fixed"/>
        <w:tblCellMar>
          <w:top w:w="0" w:type="dxa"/>
          <w:left w:w="0" w:type="dxa"/>
          <w:bottom w:w="0" w:type="dxa"/>
          <w:right w:w="0" w:type="dxa"/>
        </w:tblCellMar>
      </w:tblPr>
      <w:tblGrid>
        <w:gridCol w:w="335"/>
        <w:gridCol w:w="545"/>
        <w:gridCol w:w="60"/>
        <w:gridCol w:w="75"/>
      </w:tblGrid>
      <w:tr>
        <w:trPr/>
        <w:tc>
          <w:tcPr>
            <w:tcW w:w="940" w:type="dxa"/>
            <w:gridSpan w:val="3"/>
            <w:tcBorders/>
            <w:vAlign w:val="center"/>
          </w:tcPr>
          <w:p>
            <w:pPr>
              <w:pStyle w:val="TableContents"/>
              <w:bidi w:val="0"/>
              <w:spacing w:before="0" w:after="283"/>
              <w:jc w:val="left"/>
              <w:rPr>
                <w:b/>
                <w:sz w:val="20"/>
              </w:rPr>
            </w:pPr>
            <w:r>
              <w:rPr>
                <w:b/>
                <w:sz w:val="20"/>
              </w:rPr>
              <w:t>[BUYER]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605"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 xml:space="preserve">Title: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Each party consents to and expressly agrees that the exclusive venue for arbitration of any dispute arising out of or relating to any of the Transaction Documents or the relationship of the parties or their affiliates shall be in the State of Delaware. For purposes of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means any disputes, claims, demands, causes of action, requests for injunctive relief, requests for specific performance, questions regarding severability of any provisions of the Transaction Documents,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The term “Claims” specifically excludes a dispute over the Note Calculations (as defined in the Note), and the parties hereby acknowledge and agree that a dispute over any Note Calculations (as defined in the Note) shall be resolved by the parties as expressly provided for in Note. The parties to this Agreement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hereby agree that the Claims may be arbitrated in one or more Arbitrations pursuant to these Arbitration Provisions (one for an injunction or injunctions and a separate one for all other Claims). The parties hereby agree that the arbitration provisions set forth in this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Arbitration Provisions</w:t>
      </w:r>
      <w:r>
        <w:rPr>
          <w:rFonts w:ascii="Times New Roman;Times;Serif" w:hAnsi="Times New Roman;Times;Serif"/>
          <w:b w:val="false"/>
          <w:i w:val="false"/>
          <w:caps w:val="false"/>
          <w:smallCaps w:val="false"/>
          <w:sz w:val="20"/>
        </w:rPr>
        <w:t>”)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These Arbitration Provisions shall also survive any termination or expiration of the Agreement. Any capitalized term not defined in these Arbitration Provisions shall have the meaning set forth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Except as otherwise provided herein, all Claims must be submitted to arbitration (“</w:t>
      </w:r>
      <w:r>
        <w:rPr>
          <w:rFonts w:ascii="Times New Roman;Times;Serif" w:hAnsi="Times New Roman;Times;Serif"/>
          <w:b/>
          <w:i w:val="false"/>
          <w:caps w:val="false"/>
          <w:smallCaps w:val="false"/>
          <w:sz w:val="20"/>
        </w:rPr>
        <w:t>Arbitration</w:t>
      </w:r>
      <w:r>
        <w:rPr>
          <w:rFonts w:ascii="Times New Roman;Times;Serif" w:hAnsi="Times New Roman;Times;Serif"/>
          <w:b w:val="false"/>
          <w:i w:val="false"/>
          <w:caps w:val="false"/>
          <w:smallCaps w:val="false"/>
          <w:sz w:val="20"/>
        </w:rPr>
        <w:t>”) to be conducted exclusively in the State of Delaware and pursuant to the terms set forth in these Arbitration Provisions. Subject to the arbitration appeal right provided for in Paragraph 5 below (the “</w:t>
      </w:r>
      <w:r>
        <w:rPr>
          <w:rFonts w:ascii="Times New Roman;Times;Serif" w:hAnsi="Times New Roman;Times;Serif"/>
          <w:b/>
          <w:i w:val="false"/>
          <w:caps w:val="false"/>
          <w:smallCaps w:val="false"/>
          <w:sz w:val="20"/>
        </w:rPr>
        <w:t>Appeal Right</w:t>
      </w:r>
      <w:r>
        <w:rPr>
          <w:rFonts w:ascii="Times New Roman;Times;Serif" w:hAnsi="Times New Roman;Times;Serif"/>
          <w:b w:val="false"/>
          <w:i w:val="false"/>
          <w:caps w:val="false"/>
          <w:smallCaps w:val="false"/>
          <w:sz w:val="20"/>
        </w:rPr>
        <w:t>”), the parties agree that the award of the arbitrator rendered pursuant to Paragraph 4 below (the “</w:t>
      </w:r>
      <w:r>
        <w:rPr>
          <w:rFonts w:ascii="Times New Roman;Times;Serif" w:hAnsi="Times New Roman;Times;Serif"/>
          <w:b/>
          <w:i w:val="false"/>
          <w:caps w:val="false"/>
          <w:smallCaps w:val="false"/>
          <w:sz w:val="20"/>
        </w:rPr>
        <w:t>Arbitration Award</w:t>
      </w:r>
      <w:r>
        <w:rPr>
          <w:rFonts w:ascii="Times New Roman;Times;Serif" w:hAnsi="Times New Roman;Times;Serif"/>
          <w:b w:val="false"/>
          <w:i w:val="false"/>
          <w:caps w:val="false"/>
          <w:smallCaps w:val="false"/>
          <w:sz w:val="20"/>
        </w:rPr>
        <w:t>”) shall be (a)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(with respect to monetary awards) at the rate specified in the Note for Default Interest both before and after the Arbitration Award. Judgment upon the Arbitration Award will be entered and enforced by any state or federal court sitting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The Arbitration Act</w:t>
      </w:r>
      <w:r>
        <w:rPr>
          <w:rFonts w:ascii="Times New Roman;Times;Serif" w:hAnsi="Times New Roman;Times;Serif"/>
          <w:b w:val="false"/>
          <w:i w:val="false"/>
          <w:caps w:val="false"/>
          <w:smallCaps w:val="false"/>
          <w:sz w:val="20"/>
        </w:rPr>
        <w:t>. The parties hereby incorporate herein the provisions and procedures set forth in the Delaware Uniform Arbitration Act, Title 10 Chapter 57 (as amended or superseded from time to time, the “</w:t>
      </w:r>
      <w:r>
        <w:rPr>
          <w:rFonts w:ascii="Times New Roman;Times;Serif" w:hAnsi="Times New Roman;Times;Serif"/>
          <w:b/>
          <w:i w:val="false"/>
          <w:caps w:val="false"/>
          <w:smallCaps w:val="false"/>
          <w:sz w:val="20"/>
        </w:rPr>
        <w:t>Arbitration Act</w:t>
      </w:r>
      <w:r>
        <w:rPr>
          <w:rFonts w:ascii="Times New Roman;Times;Serif" w:hAnsi="Times New Roman;Times;Serif"/>
          <w:b w:val="false"/>
          <w:i w:val="false"/>
          <w:caps w:val="false"/>
          <w:smallCaps w:val="false"/>
          <w:sz w:val="20"/>
        </w:rPr>
        <w:t>”). Notwithstanding the foregoing, pursuant to, and to the maximum extent permitted by,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Arbitration Proceedings</w:t>
      </w:r>
      <w:r>
        <w:rPr>
          <w:rFonts w:ascii="Times New Roman;Times;Serif" w:hAnsi="Times New Roman;Times;Serif"/>
          <w:b w:val="false"/>
          <w:i w:val="false"/>
          <w:caps w:val="false"/>
          <w:smallCaps w:val="false"/>
          <w:sz w:val="20"/>
        </w:rPr>
        <w:t>. Arbitration between the parties will be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caps w:val="false"/>
          <w:smallCaps w:val="false"/>
          <w:sz w:val="20"/>
        </w:rPr>
        <w:t>Initiation of Arbitration</w:t>
      </w:r>
      <w:r>
        <w:rPr>
          <w:rFonts w:ascii="Times New Roman;Times;Serif" w:hAnsi="Times New Roman;Times;Serif"/>
          <w:b w:val="false"/>
          <w:i w:val="false"/>
          <w:caps w:val="false"/>
          <w:smallCaps w:val="false"/>
          <w:sz w:val="20"/>
        </w:rPr>
        <w:t>. Pursuant to the Arbitration Act, the parties agree that a party may initiate Arbitration by giving written notice to the other party (“</w:t>
      </w:r>
      <w:r>
        <w:rPr>
          <w:rFonts w:ascii="Times New Roman;Times;Serif" w:hAnsi="Times New Roman;Times;Serif"/>
          <w:b/>
          <w:i w:val="false"/>
          <w:caps w:val="false"/>
          <w:smallCaps w:val="false"/>
          <w:sz w:val="20"/>
        </w:rPr>
        <w:t>Arbitration Notice</w:t>
      </w:r>
      <w:r>
        <w:rPr>
          <w:rFonts w:ascii="Times New Roman;Times;Serif" w:hAnsi="Times New Roman;Times;Serif"/>
          <w:b w:val="false"/>
          <w:i w:val="false"/>
          <w:caps w:val="false"/>
          <w:smallCaps w:val="false"/>
          <w:sz w:val="20"/>
        </w:rPr>
        <w:t xml:space="preserve">”) in the same manner that notice is permitted under Section 8(f) of the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Arbitration Notice may not be given by email or fax. Arbitration will be deemed initiated as of the date that the Arbitration Notice is deemed physically delivered to such other party under Section 8(f) of the Agreement (the “</w:t>
      </w:r>
      <w:r>
        <w:rPr>
          <w:rFonts w:ascii="Times New Roman;Times;Serif" w:hAnsi="Times New Roman;Times;Serif"/>
          <w:b/>
          <w:i w:val="false"/>
          <w:caps w:val="false"/>
          <w:smallCaps w:val="false"/>
          <w:sz w:val="20"/>
        </w:rPr>
        <w:t>Service Date</w:t>
      </w:r>
      <w:r>
        <w:rPr>
          <w:rFonts w:ascii="Times New Roman;Times;Serif" w:hAnsi="Times New Roman;Times;Serif"/>
          <w:b w:val="false"/>
          <w:i w:val="false"/>
          <w:caps w:val="false"/>
          <w:smallCaps w:val="false"/>
          <w:sz w:val="20"/>
        </w:rPr>
        <w:t>”). After the Service Date, information may be delivered, and notices may be given, by email or fax pursuant to Section 8(f) of the Agreement or any other method permitted thereunder. The Arbitration Notice must describe the nature of the controversy, the remedies sought, and the election to commence Arbitration proceedings. All Claims in the Arbitration Notice must be pleaded consistent with the Delaware Rules of Civil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caps w:val="false"/>
          <w:smallCaps w:val="false"/>
          <w:sz w:val="20"/>
        </w:rPr>
        <w:t>Selection and Payment of Arbitrator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Service Date, Buyer shall select and submit to Company the names of three (3) arbitrators that are designated as “neutrals” or qualified arbitrators by American Arbitration Association (“AAA”) (https://www.adr.org/) or other arbitration service provider agreed upon by the parties (such three (3) designated persons hereunder are referred to herein as the “</w:t>
      </w:r>
      <w:r>
        <w:rPr>
          <w:rFonts w:ascii="Times New Roman;Times;Serif" w:hAnsi="Times New Roman;Times;Serif"/>
          <w:b/>
          <w:i w:val="false"/>
          <w:caps w:val="false"/>
          <w:smallCaps w:val="false"/>
          <w:sz w:val="20"/>
        </w:rPr>
        <w:t>Proposed Arbitrators</w:t>
      </w:r>
      <w:r>
        <w:rPr>
          <w:rFonts w:ascii="Times New Roman;Times;Serif" w:hAnsi="Times New Roman;Times;Serif"/>
          <w:b w:val="false"/>
          <w:i w:val="false"/>
          <w:caps w:val="false"/>
          <w:smallCaps w:val="false"/>
          <w:sz w:val="20"/>
        </w:rPr>
        <w:t>”). For the avoidance of doubt, each Proposed Arbitrator must be qualified as a “neutral” with AAA or other arbitration service provider agreed upon by the parties. Within five (5) calendar days after Buyer has submitted to Company the names of the Proposed Arbitrators, Company must select, by written notice to Buyer, one (1) of the Proposed Arbitrators to act as the arbitrator for the parties under these Arbitration Provisions. If Company fails to select one of the Proposed Arbitrators in writing within such 5-day period, then Buyer may select the arbitrator from the Proposed Arbitrators by providing written notice of such selection to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Buyer fails to submit to Company the Proposed Arbitrators within ten (10) calendar days after the Service Date pursuant to subparagraph (a) above, then Company may at any time prior to Buyer so designating the Proposed Arbitrators, identify the names of three (3) arbitrators that are designated as “neutrals” or qualified arbitrators by AAA or other arbitration service provider agreed upon by the parties by written notice to Buyer. Buyer may then, within five (5) calendar days after Company has submitted notice of its Proposed Arbitrators to Buyer, select, by written notice to Company, one (1) of the Proposed Arbitrators to act as the arbitrator for the parties under these Arbitration Provisions. If Buyer fails to select in writing and within such 5-day period one (1) of the three (3) Proposed Arbitrators selected by Company, then Company may select the arbitrator from its three (3) previously selected Proposed Arbitrators by providing written notice of such selection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Proposed Arbitrator chosen to serve as arbitrator declines or is otherwise unable to serve as arbitrator, then the party that selected such Proposed Arbitrator may select one (1) of the other three (3) Proposed Arbitrators within three (3) calendar days of the date the chosen Proposed Arbitrator declines or notifies the parties he or she is unable to serve as arbitrator. If all three (3) Proposed Arbitrators decline or are otherwise unable to serve as arbitrator, then the arbitrator selection process shall begin again in accordance with this Paragraph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that the Proposed Arbitrator selected pursuant to this Paragraph 4.2 agrees in writing (including via email) delivered to both parties to serve as the arbitrator hereunder is referred to herein as the “</w:t>
      </w:r>
      <w:r>
        <w:rPr>
          <w:rFonts w:ascii="Times New Roman;Times;Serif" w:hAnsi="Times New Roman;Times;Serif"/>
          <w:b/>
          <w:i w:val="false"/>
          <w:caps w:val="false"/>
          <w:smallCaps w:val="false"/>
          <w:sz w:val="20"/>
        </w:rPr>
        <w:t>Arbitration Commencement Date</w:t>
      </w:r>
      <w:r>
        <w:rPr>
          <w:rFonts w:ascii="Times New Roman;Times;Serif" w:hAnsi="Times New Roman;Times;Serif"/>
          <w:b w:val="false"/>
          <w:i w:val="false"/>
          <w:caps w:val="false"/>
          <w:smallCaps w:val="false"/>
          <w:sz w:val="20"/>
        </w:rPr>
        <w:t>”. If an arbitrator resigns or is unable to act during the Arbitration, a replacement arbitrator shall be chosen in accordance with this Paragraph 4.2 to continue the Arbitration. If AAA or other arbitration service provider agreed upon by the parties ceases to exist or to provide a list of neutrals and there is no successor thereto, then the arbitrator shall be selected under the then prevailing rules of the American Arbitration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Paragraph 4.10 below, the cost of the arbitrator must be paid equally by both parties. Subject to Paragraph 4.10 below, if one party refuses or fails to pay its portion of the arbitrator fee, then the other party can advance such unpaid amount (subject to the accrual of Default Interest thereupon), with such amount being added to or subtracted from, as applicable, the Arbitration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caps w:val="false"/>
          <w:smallCaps w:val="false"/>
          <w:sz w:val="20"/>
        </w:rPr>
        <w:t>Applicability of Certain Delaware Rules</w:t>
      </w:r>
      <w:r>
        <w:rPr>
          <w:rFonts w:ascii="Times New Roman;Times;Serif" w:hAnsi="Times New Roman;Times;Serif"/>
          <w:b w:val="false"/>
          <w:i w:val="false"/>
          <w:caps w:val="false"/>
          <w:smallCaps w:val="false"/>
          <w:sz w:val="20"/>
        </w:rPr>
        <w:t>. The parties agree that the Arbitration shall be conducted generally in accordance with the Delaware Rules of Civil Procedure and the Delaware Rules of Evidence. More specifically, the Delaware Rules of Civil Procedure shall apply, without limitation, to the filing of any pleadings, motions or memoranda, the conducting of discovery, and the taking of any depositions. The Delaware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Delaware Rules of Civil Procedure or the Delaware Rules of Evidence and these Arbitration Provisions, these Arbitration Provisions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caps w:val="false"/>
          <w:smallCaps w:val="false"/>
          <w:sz w:val="20"/>
        </w:rPr>
        <w:t>Answer and Default</w:t>
      </w:r>
      <w:r>
        <w:rPr>
          <w:rFonts w:ascii="Times New Roman;Times;Serif" w:hAnsi="Times New Roman;Times;Serif"/>
          <w:b w:val="false"/>
          <w:i w:val="false"/>
          <w:caps w:val="false"/>
          <w:smallCaps w:val="false"/>
          <w:sz w:val="20"/>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caps w:val="false"/>
          <w:smallCaps w:val="false"/>
          <w:sz w:val="20"/>
        </w:rPr>
        <w:t>Discovery</w:t>
      </w:r>
      <w:r>
        <w:rPr>
          <w:rFonts w:ascii="Times New Roman;Times;Serif" w:hAnsi="Times New Roman;Times;Serif"/>
          <w:b w:val="false"/>
          <w:i w:val="false"/>
          <w:caps w:val="false"/>
          <w:smallCaps w:val="false"/>
          <w:sz w:val="20"/>
        </w:rPr>
        <w:t>. The parties agree that discovery shall be conducted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discovery will only be allowed if the likely benefits of the proposed written discovery outweigh the burden or expense thereof, and the written discovery sought is likely to reveal information that will satisfy a specific element of a claim or defense already pleaded in the Arbitration. The party seeking written discovery shall always have the burden of showing that all of the standards and limitations set forth in these Arbitration Provisions are satisfied. The scope of discovery in the Arbitration proceedings shall also be limited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facts directly connected with the transactions contemplated by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facts and information that cannot be obtained from another source or in another manner that is more convenient, less burdensome or less expensive than in the manner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shall be allowed (i) more than fifteen (15) interrogatories (including discrete subparts), (ii) more than fifteen (15) requests for admission (including discrete subparts), (iii) more than ten (10) document requests (including discrete subparts), or (iv) more than three (3) depositions (excluding expert depositions) for a maximum of seven (7) hours per deposition. The costs associated with depositions will be borne by the party taking the deposition. The party defending the deposition will submit a notice to the party taking the deposition of the estimated attorneys’ fees that such party expects to incur in connection with defending the deposition. If the party defending the deposition fails to submit an estimate of attorneys’ fees within five (5) calendar days of its receipt of a deposition notice, then such party shall be deemed to have waived its right to the estimated attorneys’ fees. The party taking the deposition must pay the party defending the deposition the estimated attorneys’ fees prior to taking the deposition, unless such obligation is deemed to be waived as set forth in the immediately preceding sentence. If the party taking the deposition believes that the estimated attorneys’ fees are unreasonable, such party may submit the issue to the arbitrator for a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discovery requests (including document production requests included in deposition notices) must be submitted in writing to the arbitrator and the other party. The party submitting the written discovery requests must include with such discovery requests a detailed explanation of how the proposed discovery requests satisfy the requirements of these Arbitration Provisions and the Delaware Rules of Civil Procedure. The receiving party will then be allowed, within five (5) calendar days of receiving the proposed discovery requests, to submit to the arbitrator an estimate of the attorneys’ fees and costs associated with responding to such written discovery requests and a written challenge to each applicable discovery request. After receipt of an estimate of attorneys’ fees and costs and/or challenge(s) to one or more discovery requests, consistent with subparagraph (c) above, the arbitrator will within three (3) calendar days make a finding as to the likely attorneys’ fees and costs associated with responding to the discovery requests and issue an order that (i) requires the requesting party to prepay the attorneys’ fees and costs associated with responding to the discovery requests, and (ii) requires the responding party to respond to the discovery requests as limited by the arbitrator within twenty-five (25) calendar days of the arbitrator’s finding with respect to such discovery requests. If a party entitled to submit an estimate of attorneys’ fees and costs and/or a challenge to discovery requests fails to do so within such 5-day period, the arbitrator will make a finding that (A) there are no attorneys’ fees or costs associated with responding to such discovery requests, and (B) the responding party must respond to such discovery requests (as may be limited by the arbitrator) within twenty-five (25) calendar days of the arbitrator’s finding with respect to such discovery requests. Any party submitting any written discovery requests, including without limitation interrogatories, requests for production subpoenas to a party or a third party, or requests for admissions, must prepay the estimated attorneys’ fees and costs, before the responding party has any obligation to produce or respond to the same, unless such obligation is deemed waived as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order to allow a written discovery request, the arbitrator must find that the discovery request satisfies the standards set forth in these Arbitration Provisions and the Delaware Rules of Civil Procedure. The arbitrator must strictly enforce these standards. If a discovery request does not satisfy any of the standards set forth in these Arbitration Provisions or the Delaware Rules of Civil Procedure, the arbitrator may modify such discovery request to satisfy the applicable standards, or strike such discovery request in whole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party may submit expert reports (and rebuttals thereto), provided that such reports must be submitted within sixty (60) days of the Arbitration Commencement Date. Each party will be allowed a maximum of two (2) experts. Expert reports must contain the following: (i) a complete statement of all opinions the expert will offer at trial and the basis and reasons for them; (ii) the expert’s name and qualifications, including a list of all the expert’s publications within the preceding ten (10) years, and a list of any other cases in which the expert has testified at trial or in a deposition or prepared a report within the preceding ten (10) years; and (iii) the compensation to be paid for the expert’s report and testimony. The parties are entitled to depose any other party’s expert witness one (1) time for no more than four (4) hours. An expert may not testify in a party’s case-in-chief concerning any matter not fairly disclosed in the expert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caps w:val="false"/>
          <w:smallCaps w:val="false"/>
          <w:sz w:val="20"/>
        </w:rPr>
        <w:t>Dispositive Motions</w:t>
      </w:r>
      <w:r>
        <w:rPr>
          <w:rFonts w:ascii="Times New Roman;Times;Serif" w:hAnsi="Times New Roman;Times;Serif"/>
          <w:b w:val="false"/>
          <w:i w:val="false"/>
          <w:caps w:val="false"/>
          <w:smallCaps w:val="false"/>
          <w:sz w:val="20"/>
        </w:rPr>
        <w:t>. Each party shall have the right to submit dispositive motions pursuant to the Delaware Rules of Civil Procedure (a “</w:t>
      </w:r>
      <w:r>
        <w:rPr>
          <w:rFonts w:ascii="Times New Roman;Times;Serif" w:hAnsi="Times New Roman;Times;Serif"/>
          <w:b/>
          <w:i w:val="false"/>
          <w:caps w:val="false"/>
          <w:smallCaps w:val="false"/>
          <w:sz w:val="20"/>
        </w:rPr>
        <w:t>Dispositive Motion</w:t>
      </w:r>
      <w:r>
        <w:rPr>
          <w:rFonts w:ascii="Times New Roman;Times;Serif" w:hAnsi="Times New Roman;Times;Serif"/>
          <w:b w:val="false"/>
          <w:i w:val="false"/>
          <w:caps w:val="false"/>
          <w:smallCaps w:val="false"/>
          <w:sz w:val="20"/>
        </w:rPr>
        <w:t>”). The party submitting the Dispositive Motion may, but is not required to, deliver to the arbitrator and to the other party a memorandum in support (the “</w:t>
      </w:r>
      <w:r>
        <w:rPr>
          <w:rFonts w:ascii="Times New Roman;Times;Serif" w:hAnsi="Times New Roman;Times;Serif"/>
          <w:b/>
          <w:i w:val="false"/>
          <w:caps w:val="false"/>
          <w:smallCaps w:val="false"/>
          <w:sz w:val="20"/>
        </w:rPr>
        <w:t>Memorandum in Support</w:t>
      </w:r>
      <w:r>
        <w:rPr>
          <w:rFonts w:ascii="Times New Roman;Times;Serif" w:hAnsi="Times New Roman;Times;Serif"/>
          <w:b w:val="false"/>
          <w:i w:val="false"/>
          <w:caps w:val="false"/>
          <w:smallCaps w:val="false"/>
          <w:sz w:val="20"/>
        </w:rPr>
        <w:t>”) of the Dispositive Motion. Within seven (7) calendar days of delivery of the Memorandum in Support, the other party shall deliver to the arbitrator and to the other party a memorandum in opposition to the Memorandum in Support (the “</w:t>
      </w:r>
      <w:r>
        <w:rPr>
          <w:rFonts w:ascii="Times New Roman;Times;Serif" w:hAnsi="Times New Roman;Times;Serif"/>
          <w:b/>
          <w:i w:val="false"/>
          <w:caps w:val="false"/>
          <w:smallCaps w:val="false"/>
          <w:sz w:val="20"/>
        </w:rPr>
        <w:t>Memorandum in Opposition</w:t>
      </w:r>
      <w:r>
        <w:rPr>
          <w:rFonts w:ascii="Times New Roman;Times;Serif" w:hAnsi="Times New Roman;Times;Serif"/>
          <w:b w:val="false"/>
          <w:i w:val="false"/>
          <w:caps w:val="false"/>
          <w:smallCaps w:val="false"/>
          <w:sz w:val="20"/>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Times;Serif" w:hAnsi="Times New Roman;Times;Serif"/>
          <w:b/>
          <w:i w:val="false"/>
          <w:caps w:val="false"/>
          <w:smallCaps w:val="false"/>
          <w:sz w:val="20"/>
        </w:rPr>
        <w:t>Reply Memorandum</w:t>
      </w:r>
      <w:r>
        <w:rPr>
          <w:rFonts w:ascii="Times New Roman;Times;Serif" w:hAnsi="Times New Roman;Times;Serif"/>
          <w:b w:val="false"/>
          <w:i w:val="false"/>
          <w:caps w:val="false"/>
          <w:smallCaps w:val="false"/>
          <w:sz w:val="20"/>
        </w:rPr>
        <w:t>”). If the applicable party shall fail to deliver the Memorandum in Opposition as required above, or if the other party fails to deliver the Reply Memorandum as required above, then the applicable party shall lose its right to so deliver the same, and the Dispositive Motion shall proceed regardless.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 The arbitrator is hereby authorized and directed to issue a protective order to prevent the disclosure of privileged information and confidential information upon the written request of either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caps w:val="false"/>
          <w:smallCaps w:val="false"/>
          <w:sz w:val="20"/>
        </w:rPr>
        <w:t>Authorization; Timing; Scheduling Order</w:t>
      </w:r>
      <w:r>
        <w:rPr>
          <w:rFonts w:ascii="Times New Roman;Times;Serif" w:hAnsi="Times New Roman;Times;Serif"/>
          <w:b w:val="false"/>
          <w:i w:val="false"/>
          <w:caps w:val="false"/>
          <w:smallCaps w:val="false"/>
          <w:sz w:val="20"/>
        </w:rPr>
        <w:t>. Subject to all other portions of these Arbitration Provisions, the parties hereby authorize and direct the arbitrator to take such actions and make such rulings as may be necessary to carry out the parties’ intent for the Arbitration proceedings to be efficient and expeditious. The parties hereby agree that an Arbitration Award must be made within one hundred twenty (120) calendar days after the Arbitration Commencement Date. The arbitrator is hereby authorized and directed to hold a scheduling conference within ten (10) calendar days after the Arbitration Commencement Date in order to establish a scheduling order with various binding deadlines for discovery, expert testimony, and the submission of documents by the parties to enable the arbitrator to render a decision prior to the end of such 120-day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caps w:val="false"/>
          <w:smallCaps w:val="false"/>
          <w:sz w:val="20"/>
        </w:rPr>
        <w:t>Relief</w:t>
      </w:r>
      <w:r>
        <w:rPr>
          <w:rFonts w:ascii="Times New Roman;Times;Serif" w:hAnsi="Times New Roman;Times;Serif"/>
          <w:b w:val="false"/>
          <w:i w:val="false"/>
          <w:caps w:val="false"/>
          <w:smallCaps w:val="false"/>
          <w:sz w:val="20"/>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caps w:val="false"/>
          <w:smallCaps w:val="false"/>
          <w:sz w:val="20"/>
        </w:rPr>
        <w:t>Fees and Costs</w:t>
      </w:r>
      <w:r>
        <w:rPr>
          <w:rFonts w:ascii="Times New Roman;Times;Serif" w:hAnsi="Times New Roman;Times;Serif"/>
          <w:b w:val="false"/>
          <w:i w:val="false"/>
          <w:caps w:val="false"/>
          <w:smallCaps w:val="false"/>
          <w:sz w:val="20"/>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Arbitration Appeal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caps w:val="false"/>
          <w:smallCaps w:val="false"/>
          <w:sz w:val="20"/>
        </w:rPr>
        <w:t xml:space="preserve">Initiation of Appeal. </w:t>
      </w:r>
      <w:r>
        <w:rPr>
          <w:rFonts w:ascii="Times New Roman;Times;Serif" w:hAnsi="Times New Roman;Times;Serif"/>
          <w:b w:val="false"/>
          <w:i w:val="false"/>
          <w:caps w:val="false"/>
          <w:smallCaps w:val="false"/>
          <w:sz w:val="20"/>
        </w:rPr>
        <w:t>Following the entry of the Arbitration Award, either party (the “</w:t>
      </w:r>
      <w:r>
        <w:rPr>
          <w:rFonts w:ascii="Times New Roman;Times;Serif" w:hAnsi="Times New Roman;Times;Serif"/>
          <w:b/>
          <w:i w:val="false"/>
          <w:caps w:val="false"/>
          <w:smallCaps w:val="false"/>
          <w:sz w:val="20"/>
        </w:rPr>
        <w:t>Appellant</w:t>
      </w:r>
      <w:r>
        <w:rPr>
          <w:rFonts w:ascii="Times New Roman;Times;Serif" w:hAnsi="Times New Roman;Times;Serif"/>
          <w:b w:val="false"/>
          <w:i w:val="false"/>
          <w:caps w:val="false"/>
          <w:smallCaps w:val="false"/>
          <w:sz w:val="20"/>
        </w:rPr>
        <w:t>”) shall have a period of thirty (30) calendar days in which to notify the other party (the “</w:t>
      </w:r>
      <w:r>
        <w:rPr>
          <w:rFonts w:ascii="Times New Roman;Times;Serif" w:hAnsi="Times New Roman;Times;Serif"/>
          <w:b/>
          <w:i w:val="false"/>
          <w:caps w:val="false"/>
          <w:smallCaps w:val="false"/>
          <w:sz w:val="20"/>
        </w:rPr>
        <w:t>Appellee</w:t>
      </w:r>
      <w:r>
        <w:rPr>
          <w:rFonts w:ascii="Times New Roman;Times;Serif" w:hAnsi="Times New Roman;Times;Serif"/>
          <w:b w:val="false"/>
          <w:i w:val="false"/>
          <w:caps w:val="false"/>
          <w:smallCaps w:val="false"/>
          <w:sz w:val="20"/>
        </w:rPr>
        <w:t>”), in writing, that the Appellant elects to appeal (the “</w:t>
      </w:r>
      <w:r>
        <w:rPr>
          <w:rFonts w:ascii="Times New Roman;Times;Serif" w:hAnsi="Times New Roman;Times;Serif"/>
          <w:b/>
          <w:i w:val="false"/>
          <w:caps w:val="false"/>
          <w:smallCaps w:val="false"/>
          <w:sz w:val="20"/>
        </w:rPr>
        <w:t>Appeal</w:t>
      </w:r>
      <w:r>
        <w:rPr>
          <w:rFonts w:ascii="Times New Roman;Times;Serif" w:hAnsi="Times New Roman;Times;Serif"/>
          <w:b w:val="false"/>
          <w:i w:val="false"/>
          <w:caps w:val="false"/>
          <w:smallCaps w:val="false"/>
          <w:sz w:val="20"/>
        </w:rPr>
        <w:t>”) the Arbitration Award (such notice, an “</w:t>
      </w:r>
      <w:r>
        <w:rPr>
          <w:rFonts w:ascii="Times New Roman;Times;Serif" w:hAnsi="Times New Roman;Times;Serif"/>
          <w:b/>
          <w:i w:val="false"/>
          <w:caps w:val="false"/>
          <w:smallCaps w:val="false"/>
          <w:sz w:val="20"/>
        </w:rPr>
        <w:t>Appeal Notice</w:t>
      </w:r>
      <w:r>
        <w:rPr>
          <w:rFonts w:ascii="Times New Roman;Times;Serif" w:hAnsi="Times New Roman;Times;Serif"/>
          <w:b w:val="false"/>
          <w:i w:val="false"/>
          <w:caps w:val="false"/>
          <w:smallCaps w:val="false"/>
          <w:sz w:val="20"/>
        </w:rPr>
        <w:t>”) to a panel of arbitrators as provided in Paragraph 5.2 below. The date the Appellant delivers an Appeal Notice to the Appellee is referred to herein as the “</w:t>
      </w:r>
      <w:r>
        <w:rPr>
          <w:rFonts w:ascii="Times New Roman;Times;Serif" w:hAnsi="Times New Roman;Times;Serif"/>
          <w:b/>
          <w:i w:val="false"/>
          <w:caps w:val="false"/>
          <w:smallCaps w:val="false"/>
          <w:sz w:val="20"/>
        </w:rPr>
        <w:t>Appeal Date</w:t>
      </w:r>
      <w:r>
        <w:rPr>
          <w:rFonts w:ascii="Times New Roman;Times;Serif" w:hAnsi="Times New Roman;Times;Serif"/>
          <w:b w:val="false"/>
          <w:i w:val="false"/>
          <w:caps w:val="false"/>
          <w:smallCaps w:val="false"/>
          <w:sz w:val="20"/>
        </w:rPr>
        <w:t>”. The Appeal Notice must be delivered to the Appellee in accordance with the provisions of Paragraph 4.1 above with respect to delivery of an Arbitration Notice. In addition, together with delivery of the Appeal Notice to the Appellee, the Appellant must also pay for (and provide proof of such payment to the Appellee together with delivery of the Appeal Notice) a bond in the amount of 110% of the sum the Appellant owes to the Appellee as a result of the Arbitration Award the Appellant is appealing. In the event an Appellant delivers an Appeal Notice to the Appellee (together with proof of payment of the applicable bond) in compliance with the provisions of this Paragraph 5.1, the Appeal will occur as a matter of right and, except as specifically set forth herein, will not be further conditioned. In the event a party does not deliver an Appeal Notice (along with proof of payment of the applicable bond) to the other party within the deadline prescribed in this Paragraph 5.1, such party shall lose its right to appeal the Arbitration Award. If no party delivers an Appeal Notice (along with proof of payment of the applicable bond) to the other party within the deadline described in this Paragraph 5.1, the Arbitration Award shall be final. The parties acknowledge and agree that any Appeal shall be deemed part of the parties’ agreement to arbitrate for purposes of these Arbitration Provisions and the Arbitration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caps w:val="false"/>
          <w:smallCaps w:val="false"/>
          <w:sz w:val="20"/>
        </w:rPr>
        <w:t xml:space="preserve">Selection and Payment of Appeal Panel. </w:t>
      </w:r>
      <w:r>
        <w:rPr>
          <w:rFonts w:ascii="Times New Roman;Times;Serif" w:hAnsi="Times New Roman;Times;Serif"/>
          <w:b w:val="false"/>
          <w:i w:val="false"/>
          <w:caps w:val="false"/>
          <w:smallCaps w:val="false"/>
          <w:sz w:val="20"/>
        </w:rPr>
        <w:t>In the event an Appellant delivers an Appeal Notice to the Appellee (together with proof of payment of the applicable bond) in compliance with the provisions of Paragraph 5.1 above, the Appeal will be heard by a three (3) person arbitration panel (the “</w:t>
      </w:r>
      <w:r>
        <w:rPr>
          <w:rFonts w:ascii="Times New Roman;Times;Serif" w:hAnsi="Times New Roman;Times;Serif"/>
          <w:b/>
          <w:i w:val="false"/>
          <w:caps w:val="false"/>
          <w:smallCaps w:val="false"/>
          <w:sz w:val="20"/>
        </w:rPr>
        <w:t>Appeal Panel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ten (10) calendar days after the Appeal Date, the Appellee shall select and submit to the Appellant the names of five (5) arbitrators that are designated as “neutrals” or qualified arbitrators by AAA (https://www.adr.org/) or other arbitration service provider agreed upon by the parties (such five (5) designated persons hereunder are referred to herein as the “</w:t>
      </w:r>
      <w:r>
        <w:rPr>
          <w:rFonts w:ascii="Times New Roman;Times;Serif" w:hAnsi="Times New Roman;Times;Serif"/>
          <w:b/>
          <w:i w:val="false"/>
          <w:caps w:val="false"/>
          <w:smallCaps w:val="false"/>
          <w:sz w:val="20"/>
        </w:rPr>
        <w:t>Proposed Appeal Arbitrators</w:t>
      </w:r>
      <w:r>
        <w:rPr>
          <w:rFonts w:ascii="Times New Roman;Times;Serif" w:hAnsi="Times New Roman;Times;Serif"/>
          <w:b w:val="false"/>
          <w:i w:val="false"/>
          <w:caps w:val="false"/>
          <w:smallCaps w:val="false"/>
          <w:sz w:val="20"/>
        </w:rPr>
        <w:t>”). For the avoidance of doubt, each Proposed Appeal Arbitrator must be qualified as a “neutral” with AAA or other arbitration service provider agreed upon by the parties, and shall not be the arbitrator who rendered the Arbitration Award being appealed (the “</w:t>
      </w:r>
      <w:r>
        <w:rPr>
          <w:rFonts w:ascii="Times New Roman;Times;Serif" w:hAnsi="Times New Roman;Times;Serif"/>
          <w:b/>
          <w:i w:val="false"/>
          <w:caps w:val="false"/>
          <w:smallCaps w:val="false"/>
          <w:sz w:val="20"/>
        </w:rPr>
        <w:t>Original Arbitrator</w:t>
      </w:r>
      <w:r>
        <w:rPr>
          <w:rFonts w:ascii="Times New Roman;Times;Serif" w:hAnsi="Times New Roman;Times;Serif"/>
          <w:b w:val="false"/>
          <w:i w:val="false"/>
          <w:caps w:val="false"/>
          <w:smallCaps w:val="false"/>
          <w:sz w:val="20"/>
        </w:rPr>
        <w:t>”). Within five (5) calendar days after the Appellee has submitted to the Appellant the names of the Proposed Appeal Arbitrators, the Appellant must select, by written notice to the Appellee, three (3) of the Proposed Appeal Arbitrators to act as the members of the Appeal Panel. If the Appellant fails to select three (3) of the Proposed Appeal Arbitrators in writing within such 5-day period, then the Appellee may select such three (3) arbitrators from the Proposed Appeal Arbitrators by providing written notice of such selection to the Appellant.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Appellee fails to submit to the Appellant the names of the Proposed Appeal Arbitrators within ten (10) calendar days after the Appeal Date pursuant to subparagraph (a) above, then the Appellant may at any time prior to the Appellee so designating the Proposed Appeal Arbitrators, identify the names of five (5) arbitrators that are designated as “neutrals” or qualified arbitrators by AAA or other arbitration service provider agreed upon by the parties (none of whom may be the Original Arbitrator) by written notice to the Appellee. The Appellee may then, within five (5) calendar days after the Appellant has submitted notice of its selected arbitrators to the Appellee, select, by written notice to the Appellant, three (3) of such selected arbitrators to serve on the Appeal Panel. If the Appellee fails to select in writing within such 5-day period three (3) of the arbitrators selected by the Appellant to serve as the members of the Appeal Panel, then the Appellant may select the three (3) members of the Appeal Panel from the Appellant’s list of five (5) arbitrators by providing written notice of such selection to the Appellee.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 selected Proposed Appeal Arbitrator declines or is otherwise unable to serve, then the party that selected such Proposed Appeal Arbitrator may select one (1) of the other five (5) designated Proposed Appeal Arbitrators within three (3) calendar days of the date a chosen Proposed Appeal Arbitrator declines or notifies the parties he or she is unable to serve as an arbitrator. If at least three (3) of the five (5) designated Proposed Appeal Arbitrators decline or are otherwise unable to serve, then the Proposed Appeal Arbitrator selection process shall begin again in accordance with this Paragraph 5.2;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Proposed Appeal Arbitrators who have already agreed to serve shall remain on the Appeal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date that all three (3) Proposed Appeal Arbitrators selected pursuant to this Paragraph 5.2 agree in writing (including via email) delivered to both the Appellant and the Appellee to serve as members of the Appeal Panel hereunder is referred to herein as the “</w:t>
      </w:r>
      <w:r>
        <w:rPr>
          <w:rFonts w:ascii="Times New Roman;Times;Serif" w:hAnsi="Times New Roman;Times;Serif"/>
          <w:b/>
          <w:i w:val="false"/>
          <w:caps w:val="false"/>
          <w:smallCaps w:val="false"/>
          <w:sz w:val="20"/>
        </w:rPr>
        <w:t>Appeal Commencement Date</w:t>
      </w:r>
      <w:r>
        <w:rPr>
          <w:rFonts w:ascii="Times New Roman;Times;Serif" w:hAnsi="Times New Roman;Times;Serif"/>
          <w:b w:val="false"/>
          <w:i w:val="false"/>
          <w:caps w:val="false"/>
          <w:smallCaps w:val="false"/>
          <w:sz w:val="20"/>
        </w:rPr>
        <w:t xml:space="preserve">”. No later than five (5) calendar days after the Appeal Commencement Date, the Appellee shall designate in writing (including via email) to the Appellant and the Appeal Panel the name of one (1) of the three (3) members of the Appeal Panel to serve as the lead arbitrator in the Appeal proceedings. Each member of the Appeal Panel shall be deemed an arbitrator for purposes of these Arbitration Provisions and the Arbitration Act, provided that, in conducting the Appeal, the Appeal Panel may only act or make determinations upon the approval or vote of no less than the majority vote of its members, as announced or communicated by the lead arbitrator on the Appeal Panel. </w:t>
      </w:r>
      <w:r>
        <w:rPr>
          <w:rFonts w:ascii="Times New Roman;Times;Serif" w:hAnsi="Times New Roman;Times;Serif"/>
          <w:b w:val="false"/>
          <w:i w:val="false"/>
          <w:caps w:val="false"/>
          <w:smallCaps w:val="false"/>
          <w:sz w:val="20"/>
          <w:shd w:fill="FFFFFF" w:val="clear"/>
        </w:rPr>
        <w:t xml:space="preserve">If an arbitrator on the Appeal Panel ceases or is unable to act during the Appeal proceedings, a replacement arbitrator shall be chosen in accordance with Paragraph 5.2 above to continue the Appeal as a member of the Appeal Panel. </w:t>
      </w:r>
      <w:r>
        <w:rPr>
          <w:rFonts w:ascii="Times New Roman;Times;Serif" w:hAnsi="Times New Roman;Times;Serif"/>
          <w:b w:val="false"/>
          <w:i w:val="false"/>
          <w:caps w:val="false"/>
          <w:smallCaps w:val="false"/>
          <w:sz w:val="20"/>
        </w:rPr>
        <w:t>If AAA or other arbitration service provider agreed upon by the parties ceases to exist or to provide a list of neutrals, then the arbitrators for the Appeal Panel shall be selected under the then prevailing rules of the American Arbitration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Paragraph 5.7 below, the cost of the Appeal Panel must be paid entirely by the Appellant.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caps w:val="false"/>
          <w:smallCaps w:val="false"/>
          <w:sz w:val="20"/>
        </w:rPr>
        <w:t xml:space="preserve">Appeal Procedure. </w:t>
      </w:r>
      <w:r>
        <w:rPr>
          <w:rFonts w:ascii="Times New Roman;Times;Serif" w:hAnsi="Times New Roman;Times;Serif"/>
          <w:b w:val="false"/>
          <w:i w:val="false"/>
          <w:caps w:val="false"/>
          <w:smallCaps w:val="false"/>
          <w:sz w:val="20"/>
        </w:rPr>
        <w:t>The Appeal will be deemed an appeal of the entire Arbitration Award. In conducting the Appeal, the Appeal Panel shall conduct a de novo review of all Claims described or otherwise set forth in the Arbitration Notice. Subject to the foregoing and all other provisions of this Paragraph 5, the Appeal Panel shall conduct the Appeal in a manner the Appeal Panel considers appropriate for a fair and expeditious disposition of the Appeal, may hold one or more hearings and permit oral argument, and may review all previous evidence and discovery, together with all briefs, pleadings and other documents filed with the Original Arbitrator (as well as any documents filed with the Appeal Panel pursuant to Paragraph 5.4(a) below). Notwithstanding the foregoing, in connection with the Appeal, the Appeal Panel shall not permit the parties to conduct any additional discovery or raise any new Claims to be arbitrated, shall not permit new witnesses or affidavits, and shall not base any of its findings or determinations on the Original Arbitrator’s findings or the Arbitration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caps w:val="false"/>
          <w:smallCaps w:val="false"/>
          <w:sz w:val="20"/>
        </w:rPr>
        <w:t xml:space="preserve">Timing.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seven (7) calendar days of the Appeal Commencement Date, the Appellant (i) shall deliver or cause to be delivered to the Appeal Panel copies of the Appeal Notice, all discovery conducted in connection with the Arbitration, and all briefs, pleadings and other documents filed with the Original Arbitrator (which material Appellee shall have the right to review and supplement if necessary), and (ii) may, but is not required to, deliver to the Appeal Panel and to the Appellee a Memorandum in Support of the Appellant’s arguments concerning or position with respect to all Claims, counterclaims, issues, or accountings presented or pleaded in the Arbitration. Within seven (7) calendar days of the Appellant’s delivery of the Memorandum in Support, as applicable, the Appellee shall deliver to the Appeal Panel and to the Appellant a Memorandum in Opposition to the Memorandum in Support. Within seven (7) calendar days of the Appellee’s delivery of the Memorandum in Opposition, as applicable, the Appellant shall deliver to the Appeal Panel and to the Appellee a Reply Memorandum to the Memorandum in Opposition. If the Appellant shall fail to substantially comply with the requirements of clause (i) of this subparagraph (a), the Appellant shall lose its right to appeal the Arbitration Award, and the Arbitration Award shall be final. If the Appellee shall fail to deliver the Memorandum in Opposition as required above, or if the Appellant shall fail to deliver the Reply Memorandum as required above, then the Appellee or the Appellant, as the case may be, shall lose its right to so deliver the same, and the Appeal shall proceed regardless.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subparagraph (a) above, the parties hereby agree that the Appeal must be heard by the Appeal Panel within thirty (30) calendar days of the Appeal Commencement Date, and that the Appeal Panel must render its decision within thirty (30) calendar days after the Appeal is heard (and in no event later than sixty (60) calendar days after the Appeal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caps w:val="false"/>
          <w:smallCaps w:val="false"/>
          <w:sz w:val="20"/>
        </w:rPr>
        <w:t xml:space="preserve">Appeal Panel Award. </w:t>
      </w:r>
      <w:r>
        <w:rPr>
          <w:rFonts w:ascii="Times New Roman;Times;Serif" w:hAnsi="Times New Roman;Times;Serif"/>
          <w:b w:val="false"/>
          <w:i w:val="false"/>
          <w:caps w:val="false"/>
          <w:smallCaps w:val="false"/>
          <w:sz w:val="20"/>
        </w:rPr>
        <w:t>The Appeal Panel shall issue its decision (the “</w:t>
      </w:r>
      <w:r>
        <w:rPr>
          <w:rFonts w:ascii="Times New Roman;Times;Serif" w:hAnsi="Times New Roman;Times;Serif"/>
          <w:b/>
          <w:i w:val="false"/>
          <w:caps w:val="false"/>
          <w:smallCaps w:val="false"/>
          <w:sz w:val="20"/>
        </w:rPr>
        <w:t>Appeal Panel Award</w:t>
      </w:r>
      <w:r>
        <w:rPr>
          <w:rFonts w:ascii="Times New Roman;Times;Serif" w:hAnsi="Times New Roman;Times;Serif"/>
          <w:b w:val="false"/>
          <w:i w:val="false"/>
          <w:caps w:val="false"/>
          <w:smallCaps w:val="false"/>
          <w:sz w:val="20"/>
        </w:rPr>
        <w:t>”) through the lead arbitrator on the Appeal Panel. Notwithstanding any other provision contained herein, the Appeal Panel Award shall (a) supersede in its entirety and make of no further force or effect the Arbitration Award (provided that any protective orders issued by the Original Arbitrator shall remain in full force and effect), (b) be final and binding upon the parties, with no further rights of appeal, (c) be the sole and exclusive remedy between the parties regarding any Claims, counterclaims, issues, or accountings presented or pleaded in the Arbitration, and (d) be promptly payable in United States dollars free of any tax, deduction or offset (with respect to monetary awards). Any costs or fees, including without limitation attorneys’ fees, incurred in connection with or incident to enforcing the Appeal Panel Award shall, to the maximum extent permitted by law, be charged against the party resisting such enforcement. The Appeal Panel Award shall include Default Interest (with respect to monetary awards) at the rate specified in the Note for Default Interest both before and after the Arbitration Award. Judgment upon the Appeal Panel Award will be entered and enforced by a state or federal court sitting in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caps w:val="false"/>
          <w:smallCaps w:val="false"/>
          <w:sz w:val="20"/>
        </w:rPr>
        <w:t xml:space="preserve">Relief. </w:t>
      </w:r>
      <w:r>
        <w:rPr>
          <w:rFonts w:ascii="Times New Roman;Times;Serif" w:hAnsi="Times New Roman;Times;Serif"/>
          <w:b w:val="false"/>
          <w:i w:val="false"/>
          <w:caps w:val="false"/>
          <w:smallCaps w:val="false"/>
          <w:sz w:val="20"/>
        </w:rPr>
        <w:t>The Appeal Panel shall have the right to award or include in the Appeal Panel Award any relief which the Appeal Panel deems proper under the circumstances, including, without limitation, specific performance and injunctive relief, provided that the Appeal Panel may not award exemplary or punitive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caps w:val="false"/>
          <w:smallCaps w:val="false"/>
          <w:sz w:val="20"/>
        </w:rPr>
        <w:t xml:space="preserve">Fees and Costs. </w:t>
      </w:r>
      <w:r>
        <w:rPr>
          <w:rFonts w:ascii="Times New Roman;Times;Serif" w:hAnsi="Times New Roman;Times;Serif"/>
          <w:b w:val="false"/>
          <w:i w:val="false"/>
          <w:caps w:val="false"/>
          <w:smallCaps w:val="false"/>
          <w:sz w:val="20"/>
        </w:rPr>
        <w:t>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caps w:val="false"/>
          <w:smallCaps w:val="false"/>
          <w:sz w:val="20"/>
        </w:rPr>
        <w:t xml:space="preserve">Severability. </w:t>
      </w:r>
      <w:r>
        <w:rPr>
          <w:rFonts w:ascii="Times New Roman;Times;Serif" w:hAnsi="Times New Roman;Times;Serif"/>
          <w:b w:val="false"/>
          <w:i w:val="false"/>
          <w:caps w:val="false"/>
          <w:smallCaps w:val="false"/>
          <w:sz w:val="20"/>
        </w:rPr>
        <w:t>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These Arbitration Provisions shall be governed by the laws of the State of Delaware without regard to the conflict of laws principles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 The headings of these Arbitration Provisions are for convenience of reference only and shall not form part of, or affect the interpretation of,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caps w:val="false"/>
          <w:smallCaps w:val="false"/>
          <w:sz w:val="20"/>
        </w:rPr>
        <w:t>Waiver</w:t>
      </w:r>
      <w:r>
        <w:rPr>
          <w:rFonts w:ascii="Times New Roman;Times;Serif" w:hAnsi="Times New Roman;Times;Serif"/>
          <w:b w:val="false"/>
          <w:i w:val="false"/>
          <w:caps w:val="false"/>
          <w:smallCaps w:val="false"/>
          <w:sz w:val="20"/>
        </w:rPr>
        <w:t>. No waiver of any provision of these Arbitration Provisions shall be effective unless it is in the form of a writing signed by the party granting the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caps w:val="false"/>
          <w:smallCaps w:val="false"/>
          <w:sz w:val="20"/>
        </w:rPr>
        <w:t>Time is of the Essence</w:t>
      </w:r>
      <w:r>
        <w:rPr>
          <w:rFonts w:ascii="Times New Roman;Times;Serif" w:hAnsi="Times New Roman;Times;Serif"/>
          <w:b w:val="false"/>
          <w:i w:val="false"/>
          <w:caps w:val="false"/>
          <w:smallCaps w:val="false"/>
          <w:sz w:val="20"/>
        </w:rPr>
        <w:t>. Time is expressly made of the essence with respect to each and every provision of these Arbitration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9224/000121390025099160/ea0260967-f3_solowin.htm" TargetMode="External"/><Relationship Id="rId3" Type="http://schemas.openxmlformats.org/officeDocument/2006/relationships/hyperlink" Target="http://www.sec.gov/Archives/edgar/data/1959224/000121390023083722/ea187743-s8_solowin.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65251</Words>
  <Characters>342290</Characters>
  <CharactersWithSpaces>407657</CharactersWithSpaces>
  <Paragraphs>1882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